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2026-09-26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2026年09月26日11:25（北京时间） / 2026年09月26日10:25（越南时间）</w:t>
        <w:br/>
        <w:t>覆盖窗口：2026年9月20日至2026年9月26日</w:t>
      </w:r>
    </w:p>
    <w:p>
      <w:pPr>
        <w:pStyle w:val="Heading1"/>
      </w:pPr>
      <w:r>
        <w:t>核心结论</w:t>
      </w:r>
    </w:p>
    <w:p>
      <w:pPr>
        <w:pStyle w:val="ListBullet"/>
      </w:pPr>
      <w:r>
        <w:t>22053/CHQ-NVTHQ确认在地进口已纳税货物原状再出口目前无进口税退税依据，相关报价必须按不可退税成本测算。</w:t>
      </w:r>
    </w:p>
    <w:p>
      <w:pPr>
        <w:pStyle w:val="ListBullet"/>
      </w:pPr>
      <w:r>
        <w:t>311/2026/NĐ-CP今日生效，扩充部分专业主管机关处罚权限，但不应误读为新增海关申报义务或统一罚款标准。</w:t>
      </w:r>
    </w:p>
    <w:p>
      <w:pPr>
        <w:pStyle w:val="ListBullet"/>
      </w:pPr>
      <w:r>
        <w:t>VNACCS数据清洗继续执行；DNCX B13再出口和物流服务0%增值税均须保留逐票条件与证据。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重审所有在地进口后可能再出口项目，将进口税列为暂不可退成本并修正合同责任。</w:t>
      </w:r>
    </w:p>
    <w:p>
      <w:pPr>
        <w:pStyle w:val="ListNumber"/>
      </w:pPr>
      <w:r>
        <w:t>更新专业监管执法机关矩阵，但客户通知中不得编造311号法令新增罚则。</w:t>
      </w:r>
    </w:p>
    <w:p>
      <w:pPr>
        <w:pStyle w:val="ListNumber"/>
      </w:pPr>
      <w:r>
        <w:t>每票申报前核VNACCS账号、有效用户和授权角色。</w:t>
      </w:r>
    </w:p>
    <w:p>
      <w:pPr>
        <w:pStyle w:val="ListNumber"/>
      </w:pPr>
      <w:r>
        <w:t>继续使用DNCX B13再出口及物流服务税率检查表，保存库存、用途、地点和付款证据。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22053号公文：在地进口货原状再出口暂无进口税退税依据</w:t>
      </w:r>
    </w:p>
    <w:p>
      <w:r>
        <w:rPr>
          <w:i/>
        </w:rPr>
        <w:t>Chưa có cơ sở hoàn thuế hàng nhập khẩu tại chỗ tái xuất</w:t>
      </w:r>
    </w:p>
    <w:p>
      <w:r>
        <w:rPr>
          <w:b/>
        </w:rPr>
        <w:t>摘要：</w:t>
      </w:r>
      <w:r>
        <w:t>在地进口货已缴税后原状再出口，现行法规暂无进口税退税依据。</w:t>
      </w:r>
    </w:p>
    <w:p>
      <w:r>
        <w:rPr>
          <w:b/>
        </w:rPr>
        <w:t>文号：</w:t>
      </w:r>
      <w:r>
        <w:t>22053/CHQ-NVTHQ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2026-09-22</w:t>
      </w:r>
    </w:p>
    <w:p>
      <w:r>
        <w:rPr>
          <w:b/>
        </w:rPr>
        <w:t>生效日期：</w:t>
      </w:r>
      <w:r>
        <w:t>按现行规定执行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海关总局答复Compal：按在地进出口类型进口并已缴纳进口税的货物，之后未经使用、加工或制造而原状再出口至境外或非关税区，现行134/2016/NĐ-CP和18/2021/NĐ-CP未规定该情形，暂无进口税退税依据；问题已转交修法研究。</w:t>
      </w:r>
    </w:p>
    <w:p>
      <w:r>
        <w:rPr>
          <w:b/>
        </w:rPr>
        <w:t>关注原因：</w:t>
      </w:r>
      <w:r>
        <w:t>企业若在采购或调拨方案中预期退税，将形成不可回收税款和报价亏损。</w:t>
      </w:r>
    </w:p>
    <w:p>
      <w:r>
        <w:rPr>
          <w:b/>
        </w:rPr>
        <w:t>影响主体：</w:t>
      </w:r>
      <w:r>
        <w:t>在地进出口、DNCX、电子制造、集团内调拨及原状退运客户。</w:t>
      </w:r>
    </w:p>
    <w:p>
      <w:r>
        <w:rPr>
          <w:b/>
        </w:rPr>
        <w:t>业务影响：</w:t>
      </w:r>
      <w:r>
        <w:t>进口税暂应按不可退成本纳入报价与现金流；增值税退税另有条件，不能与进口税退税混同。</w:t>
      </w:r>
    </w:p>
    <w:p>
      <w:r>
        <w:rPr>
          <w:b/>
        </w:rPr>
        <w:t>行动建议：</w:t>
      </w:r>
      <w:r>
        <w:t>对所有在地进口后可能再出口的方案重算落地成本，合同中排除未获批准的退税假设；需要退税的项目先取得书面口径。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https://thuehaiquan.tapchikinhtetaichinh.vn/chua-co-co-so-hoan-thue-hang-nhap-khau-tai-cho-tai-xuat-167904.html</w:t>
      </w:r>
    </w:p>
    <w:p>
      <w:pPr>
        <w:pStyle w:val="Heading2"/>
      </w:pPr>
      <w:r>
        <w:t>2 311号法令今日生效：扩充专业主管机关行政处罚权限</w:t>
      </w:r>
    </w:p>
    <w:p>
      <w:r>
        <w:rPr>
          <w:i/>
        </w:rPr>
        <w:t>Bổ sung một số chức danh có thẩm quyền xử phạt vi phạm hành chính từ ngày 26/9/2026</w:t>
      </w:r>
    </w:p>
    <w:p>
      <w:r>
        <w:rPr>
          <w:b/>
        </w:rPr>
        <w:t>摘要：</w:t>
      </w:r>
      <w:r>
        <w:t>311号法令今日生效，扩充进出口、化学品、食品等专业机关处罚权限。</w:t>
      </w:r>
    </w:p>
    <w:p>
      <w:r>
        <w:rPr>
          <w:b/>
        </w:rPr>
        <w:t>文号：</w:t>
      </w:r>
      <w:r>
        <w:t>311/2026/NĐ-CP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发布日期：</w:t>
      </w:r>
      <w:r>
        <w:t>2026-08-06</w:t>
      </w:r>
    </w:p>
    <w:p>
      <w:r>
        <w:rPr>
          <w:b/>
        </w:rPr>
        <w:t>生效日期：</w:t>
      </w:r>
      <w:r>
        <w:t>2026-09-26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法令修订189/2025/NĐ-CP关于行政处罚权限的规定，增加部分中央和地方职务的处罚权限；政府解读列明包括进出口、贸易救济、化学品、食品安全等若干专业管理机关负责人。该法令调整处罚权限，不等于新增具体违法行为或自动改变海关申报流程。</w:t>
      </w:r>
    </w:p>
    <w:p>
      <w:r>
        <w:rPr>
          <w:b/>
        </w:rPr>
        <w:t>关注原因：</w:t>
      </w:r>
      <w:r>
        <w:t>进口许可、化学品、食品和贸易救济等专业合规事项可能面对更明确的执法主体。</w:t>
      </w:r>
    </w:p>
    <w:p>
      <w:r>
        <w:rPr>
          <w:b/>
        </w:rPr>
        <w:t>影响主体：</w:t>
      </w:r>
      <w:r>
        <w:t>涉及进出口许可、贸易救济、化学品、食品安全及其他专业监管的企业。</w:t>
      </w:r>
    </w:p>
    <w:p>
      <w:r>
        <w:rPr>
          <w:b/>
        </w:rPr>
        <w:t>业务影响：</w:t>
      </w:r>
      <w:r>
        <w:t>客户不能把“非海关主管事项”理解为低执法风险；报价前仍须核相应许可证和专检，但不得据此虚构新增罚款标准。</w:t>
      </w:r>
    </w:p>
    <w:p>
      <w:r>
        <w:rPr>
          <w:b/>
        </w:rPr>
        <w:t>行动建议：</w:t>
      </w:r>
      <w:r>
        <w:t>更新合规升级矩阵中的执法机关与联系人；具体案件仍按实体法规核违法行为、权限和罚则。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https://chinhphu.vn/?classid=1&amp;docid=219135&amp;pageid=27160；https://baochinhphu.vn/bo-sung-mot-so-chuc-danh-co-tham-quyen-xu-phat-vi-pham-hanh-chinh-tu-ngay-26-9-2026-102260807160734182.htm</w:t>
      </w:r>
    </w:p>
    <w:p>
      <w:pPr>
        <w:pStyle w:val="Heading2"/>
      </w:pPr>
      <w:r>
        <w:t>3 9月25日起企业须清洗VNACCS用户数据</w:t>
      </w:r>
    </w:p>
    <w:p>
      <w:r>
        <w:rPr>
          <w:i/>
        </w:rPr>
        <w:t>Hải quan làm sạch dữ liệu doanh nghiệp trên hệ thống và quản lý người sử dụng từ 25/9</w:t>
      </w:r>
    </w:p>
    <w:p>
      <w:r>
        <w:rPr>
          <w:b/>
        </w:rPr>
        <w:t>摘要：</w:t>
      </w:r>
      <w:r>
        <w:t>VNACCS企业及用户数据清洗今日启动，申报前须核账户状态。</w:t>
      </w:r>
    </w:p>
    <w:p>
      <w:r>
        <w:rPr>
          <w:b/>
        </w:rPr>
        <w:t>文号：</w:t>
      </w:r>
      <w:r>
        <w:t>21692/CHQ-CNTT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公文签发日期待核验；2026-09-22（报道）</w:t>
      </w:r>
    </w:p>
    <w:p>
      <w:r>
        <w:rPr>
          <w:b/>
        </w:rPr>
        <w:t>生效日期：</w:t>
      </w:r>
      <w:r>
        <w:t>2026-09-25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海关总局要求各区域海关通知企业，自9月25日起登录企业用户注册管理系统，按公文附件复核、更新和清洗已登记的VNACCS企业及用户信息；企业入口为dksd.customs.gov.vn/client/external。</w:t>
      </w:r>
    </w:p>
    <w:p>
      <w:r>
        <w:rPr>
          <w:b/>
        </w:rPr>
        <w:t>关注原因：</w:t>
      </w:r>
      <w:r>
        <w:t>今日为执行首日，错误账户、失效人员或授权资料不完整可能直接影响登录和申报。</w:t>
      </w:r>
    </w:p>
    <w:p>
      <w:r>
        <w:rPr>
          <w:b/>
        </w:rPr>
        <w:t>影响主体：</w:t>
      </w:r>
      <w:r>
        <w:t>所有已注册VNACCS账户的进出口企业、报关代理及企业系统管理员。</w:t>
      </w:r>
    </w:p>
    <w:p>
      <w:r>
        <w:rPr>
          <w:b/>
        </w:rPr>
        <w:t>业务影响：</w:t>
      </w:r>
      <w:r>
        <w:t>账号或授权资料未及时清理可能影响申报连续性；报价和时效承诺应排除客户账户无法使用造成的等待。</w:t>
      </w:r>
    </w:p>
    <w:p>
      <w:r>
        <w:rPr>
          <w:b/>
        </w:rPr>
        <w:t>行动建议：</w:t>
      </w:r>
      <w:r>
        <w:t>今日首票申报前登录系统复核企业资料、有效用户、授权角色和联系方式，并记录异常反馈。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https://thuehaiquan.tapchikinhtetaichinh.vn/hai-quan-lam-sach-du-lieu-doanh-nghiep-tren-he-thong-va-quan-ly-nguoi-su-dung-tu-25-9-167634.html</w:t>
      </w:r>
    </w:p>
    <w:p>
      <w:pPr>
        <w:pStyle w:val="Heading2"/>
      </w:pPr>
      <w:r>
        <w:t>4 DNCX未使用进口料件原状再出口可用B13</w:t>
      </w:r>
    </w:p>
    <w:p>
      <w:r>
        <w:rPr>
          <w:i/>
        </w:rPr>
        <w:t>Doanh nghiệp chế xuất tái xuất nguyên liệu chưa sử dụng thế nào?</w:t>
      </w:r>
    </w:p>
    <w:p>
      <w:r>
        <w:rPr>
          <w:b/>
        </w:rPr>
        <w:t>摘要：</w:t>
      </w:r>
      <w:r>
        <w:t>未加工进口料件原状再出口可用B13，无需A42改用途申报。</w:t>
      </w:r>
    </w:p>
    <w:p>
      <w:r>
        <w:rPr>
          <w:b/>
        </w:rPr>
        <w:t>文号：</w:t>
      </w:r>
      <w:r>
        <w:t>依据121/2025/TT-BTC、167/2025/NĐ-CP及1357/QĐ-TCHQ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2026-09-24</w:t>
      </w:r>
    </w:p>
    <w:p>
      <w:r>
        <w:rPr>
          <w:b/>
        </w:rPr>
        <w:t>生效日期：</w:t>
      </w:r>
      <w:r>
        <w:t>按现行规定执行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海关答复DNCX：因生产计划变化而未使用、仍保持原状的进口原料物资再出口时，办理出口手续，无需以A42申报改变用途；符合条件的进口后未加工货物可使用B13，相关商业发票或销售单据须按交易场景准备。</w:t>
      </w:r>
    </w:p>
    <w:p>
      <w:r>
        <w:rPr>
          <w:b/>
        </w:rPr>
        <w:t>关注原因：</w:t>
      </w:r>
      <w:r>
        <w:t>A42与B13选择会影响申报流程、税务处理、料件核销和后续稽查证据。</w:t>
      </w:r>
    </w:p>
    <w:p>
      <w:r>
        <w:rPr>
          <w:b/>
        </w:rPr>
        <w:t>影响主体：</w:t>
      </w:r>
      <w:r>
        <w:t>DNCX、加工贸易和出口生产企业及其境外集团调拨业务。</w:t>
      </w:r>
    </w:p>
    <w:p>
      <w:r>
        <w:rPr>
          <w:b/>
        </w:rPr>
        <w:t>业务影响：</w:t>
      </w:r>
      <w:r>
        <w:t>只有未加工、原状再出口且交易路径符合条件时才能使用该口径；报价需包含库存核对、料件追踪和B13单证准备。</w:t>
      </w:r>
    </w:p>
    <w:p>
      <w:r>
        <w:rPr>
          <w:b/>
        </w:rPr>
        <w:t>行动建议：</w:t>
      </w:r>
      <w:r>
        <w:t>核实原进口报关单、库存状态、未加工证据、境外接收方和商业单据，再决定B13；不将个案答复泛化至已投入生产料件。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https://thuehaiquan.tapchikinhtetaichinh.vn/doanh-nghiep-che-xuat-tai-xuat-nguyen-lieu-chua-su-dung-the-nao-167874.html</w:t>
      </w:r>
    </w:p>
    <w:p>
      <w:pPr>
        <w:pStyle w:val="Heading2"/>
      </w:pPr>
      <w:r>
        <w:t>5 DNCX物流服务0%增值税须同时满足用途和地点条件</w:t>
      </w:r>
    </w:p>
    <w:p>
      <w:r>
        <w:rPr>
          <w:i/>
        </w:rPr>
        <w:t>Dịch vụ cung cấp cho doanh nghiệp chế xuất khi nào được áp dụng thuế GTGT 0%?</w:t>
      </w:r>
    </w:p>
    <w:p>
      <w:r>
        <w:rPr>
          <w:b/>
        </w:rPr>
        <w:t>摘要：</w:t>
      </w:r>
      <w:r>
        <w:t>运输、装卸等服务满足区内消费及生产出口条件时可适用0%。</w:t>
      </w:r>
    </w:p>
    <w:p>
      <w:r>
        <w:rPr>
          <w:b/>
        </w:rPr>
        <w:t>文号：</w:t>
      </w:r>
      <w:r>
        <w:t>12221/NBI-QLDN3</w:t>
      </w:r>
    </w:p>
    <w:p>
      <w:r>
        <w:rPr>
          <w:b/>
        </w:rPr>
        <w:t>发布机构：</w:t>
      </w:r>
      <w:r>
        <w:t>宁平省税务机关</w:t>
      </w:r>
    </w:p>
    <w:p>
      <w:r>
        <w:rPr>
          <w:b/>
        </w:rPr>
        <w:t>发布日期：</w:t>
      </w:r>
      <w:r>
        <w:t>2026-09-24</w:t>
      </w:r>
    </w:p>
    <w:p>
      <w:r>
        <w:rPr>
          <w:b/>
        </w:rPr>
        <w:t>生效日期：</w:t>
      </w:r>
      <w:r>
        <w:t>按现行规定执行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税务机关说明，直接向DNCX提供、在非关税区内消费并直接服务出口生产的运输、集装箱升降、装卸及相关单证、封志、操作、包装等服务，在满足法定条件时可适用0%增值税；房屋、办公室、仓库租赁及员工接送等不适用。</w:t>
      </w:r>
    </w:p>
    <w:p>
      <w:r>
        <w:rPr>
          <w:b/>
        </w:rPr>
        <w:t>关注原因：</w:t>
      </w:r>
      <w:r>
        <w:t>物流报价常把DNCX客户等同0%税率，忽略服务性质、消费地点和用途证据。</w:t>
      </w:r>
    </w:p>
    <w:p>
      <w:r>
        <w:rPr>
          <w:b/>
        </w:rPr>
        <w:t>影响主体：</w:t>
      </w:r>
      <w:r>
        <w:t>向DNCX提供运输、报关、装卸、仓储及配套服务的物流企业和客户。</w:t>
      </w:r>
    </w:p>
    <w:p>
      <w:r>
        <w:rPr>
          <w:b/>
        </w:rPr>
        <w:t>业务影响：</w:t>
      </w:r>
      <w:r>
        <w:t>报价与发票须逐项拆分可适用0%的服务和明确排除项；证据不足时不能承诺0%，否则存在补税和处罚风险。</w:t>
      </w:r>
    </w:p>
    <w:p>
      <w:r>
        <w:rPr>
          <w:b/>
        </w:rPr>
        <w:t>行动建议：</w:t>
      </w:r>
      <w:r>
        <w:t>按服务项目建立税率矩阵，留存合同、DNCX资格、服务地点、出口生产用途和付款凭证；仓租及员工接送单独计税。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https://thuehaiquan.tapchikinhtetaichinh.vn/dich-vu-cung-cap-cho-doanh-nghiep-che-xuat-khi-nao-duoc-ap-dung-thue-gtgt-0-167818.html</w:t>
      </w:r>
    </w:p>
    <w:p>
      <w:pPr>
        <w:pStyle w:val="Heading2"/>
      </w:pPr>
      <w:r>
        <w:t>6 127号通知统一各类运输工具出入境申报指标</w:t>
      </w:r>
    </w:p>
    <w:p>
      <w:r>
        <w:rPr>
          <w:i/>
        </w:rPr>
        <w:t>Thống nhất chỉ tiêu khai báo phương tiện xuất nhập cảnh, quá cảnh, chuyển cảng</w:t>
      </w:r>
    </w:p>
    <w:p>
      <w:r>
        <w:rPr>
          <w:b/>
        </w:rPr>
        <w:t>摘要：</w:t>
      </w:r>
      <w:r>
        <w:t>10月15日起各类运输工具按独立指标、必填项和代码表申报。</w:t>
      </w:r>
    </w:p>
    <w:p>
      <w:r>
        <w:rPr>
          <w:b/>
        </w:rPr>
        <w:t>文号：</w:t>
      </w:r>
      <w:r>
        <w:t>127/2026/TT-BTC</w:t>
      </w:r>
    </w:p>
    <w:p>
      <w:r>
        <w:rPr>
          <w:b/>
        </w:rPr>
        <w:t>发布机构：</w:t>
      </w:r>
      <w:r>
        <w:t>越南财政部</w:t>
      </w:r>
    </w:p>
    <w:p>
      <w:r>
        <w:rPr>
          <w:b/>
        </w:rPr>
        <w:t>发布日期：</w:t>
      </w:r>
      <w:r>
        <w:t>2026-08-27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通知按海船、航空器、内河船舶、道路车辆和国际联运列车分别设置申报指标、必填字段和代码表，并自生效日起替代50/2018/TT-BTC。</w:t>
      </w:r>
    </w:p>
    <w:p>
      <w:r>
        <w:rPr>
          <w:b/>
        </w:rPr>
        <w:t>关注原因：</w:t>
      </w:r>
      <w:r>
        <w:t>承运人、船代、车队和口岸代理须在生效前完成字段映射和系统测试。</w:t>
      </w:r>
    </w:p>
    <w:p>
      <w:r>
        <w:rPr>
          <w:b/>
        </w:rPr>
        <w:t>影响主体：</w:t>
      </w:r>
      <w:r>
        <w:t>海运、空运、陆运、铁路及内河运输承运人和代理。</w:t>
      </w:r>
    </w:p>
    <w:p>
      <w:r>
        <w:rPr>
          <w:b/>
        </w:rPr>
        <w:t>业务影响：</w:t>
      </w:r>
      <w:r>
        <w:t>漏填必填字段或代码错误可能导致申报退回、口岸等待及额外操作费用。</w:t>
      </w:r>
    </w:p>
    <w:p>
      <w:r>
        <w:rPr>
          <w:b/>
        </w:rPr>
        <w:t>行动建议：</w:t>
      </w:r>
      <w:r>
        <w:t>按附录I至V建立运输方式字段差异表，10月15日前完成模板、接口和操作SOP测试。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https://thuehaiquan.tapchikinhtetaichinh.vn/thong-nhat-chi-tieu-khai-bao-phuong-tien-xuat-nhap-canh-qua-canh-chuyen-cang-167543.html；https://vanban.chinhphu.vn/?classid=1&amp;docid=219370&amp;orggroupid=4&amp;pageid=27160</w:t>
      </w:r>
    </w:p>
    <w:p>
      <w:pPr>
        <w:pStyle w:val="Heading2"/>
      </w:pPr>
      <w:r>
        <w:t>7 区域海关VI后续稽查42次发现34起违规</w:t>
      </w:r>
    </w:p>
    <w:p>
      <w:r>
        <w:rPr>
          <w:i/>
        </w:rPr>
        <w:t>Hải quan khu vực VI nâng hiệu quả hậu kiểm từ lựa chọn chuyên đề</w:t>
      </w:r>
    </w:p>
    <w:p>
      <w:r>
        <w:rPr>
          <w:b/>
        </w:rPr>
        <w:t>摘要：</w:t>
      </w:r>
      <w:r>
        <w:t>42次已完成稽查发现34起违规，30起已处罚，核定约28.5亿越盾。</w:t>
      </w:r>
    </w:p>
    <w:p>
      <w:r>
        <w:rPr>
          <w:b/>
        </w:rPr>
        <w:t>文号：</w:t>
      </w:r>
      <w:r>
        <w:t>区域海关VI年度后续稽查统计</w:t>
      </w:r>
    </w:p>
    <w:p>
      <w:r>
        <w:rPr>
          <w:b/>
        </w:rPr>
        <w:t>发布机构：</w:t>
      </w:r>
      <w:r>
        <w:t>区域海关第六分局</w:t>
      </w:r>
    </w:p>
    <w:p>
      <w:r>
        <w:rPr>
          <w:b/>
        </w:rPr>
        <w:t>发布日期：</w:t>
      </w:r>
      <w:r>
        <w:t>2026-09-24</w:t>
      </w:r>
    </w:p>
    <w:p>
      <w:r>
        <w:rPr>
          <w:b/>
        </w:rPr>
        <w:t>生效日期：</w:t>
      </w:r>
      <w:r>
        <w:t>统计截至报道日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区域海关VI已决定开展52次后续稽查、完成42次并发现34起违规，其中30起已处罚；核定总额2,850,147,955越盾，包括补税超过22.3亿、罚款超过5.21亿和滞纳金超过0.96亿，已入库2,583,507,185越盾。</w:t>
      </w:r>
    </w:p>
    <w:p>
      <w:r>
        <w:rPr>
          <w:b/>
        </w:rPr>
        <w:t>关注原因：</w:t>
      </w:r>
      <w:r>
        <w:t>约81%的已完成检查发现违规，显示后续稽查正聚焦高风险专题和加工、出口生产业务。</w:t>
      </w:r>
    </w:p>
    <w:p>
      <w:r>
        <w:rPr>
          <w:b/>
        </w:rPr>
        <w:t>影响主体：</w:t>
      </w:r>
      <w:r>
        <w:t>区域海关VI辖区及加工、出口生产、DNCX、高税差和复杂申报企业。</w:t>
      </w:r>
    </w:p>
    <w:p>
      <w:r>
        <w:rPr>
          <w:b/>
        </w:rPr>
        <w:t>业务影响：</w:t>
      </w:r>
      <w:r>
        <w:t>放行不代表风险结束；报价、归类、估价、原产地和料件核销证据须可追溯。</w:t>
      </w:r>
    </w:p>
    <w:p>
      <w:r>
        <w:rPr>
          <w:b/>
        </w:rPr>
        <w:t>行动建议：</w:t>
      </w:r>
      <w:r>
        <w:t>对加工、出口生产客户抽查近60日申报、BOM、估价、原产地及料件核销，异常票先自查并保全证据。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https://thuehaiquan.tapchikinhtetaichinh.vn/hai-quan-khu-vuc-vi-nang-hieu-qua-hau-kiem-tu-lua-chon-chuyen-de-167914.html</w:t>
      </w:r>
    </w:p>
    <w:p>
      <w:pPr>
        <w:pStyle w:val="Heading2"/>
      </w:pPr>
      <w:r>
        <w:t>8 平台个体经营者电子发票难点仍在研究</w:t>
      </w:r>
    </w:p>
    <w:p>
      <w:r>
        <w:rPr>
          <w:i/>
        </w:rPr>
        <w:t>Nghiên cứu tháo gỡ vướng mắc hóa đơn điện tử của hộ kinh doanh trên sàn thương mại điện tử</w:t>
      </w:r>
    </w:p>
    <w:p>
      <w:r>
        <w:rPr>
          <w:b/>
        </w:rPr>
        <w:t>摘要：</w:t>
      </w:r>
      <w:r>
        <w:t>电子发票障碍仍在研究，现行开票义务尚未被普遍豁免。</w:t>
      </w:r>
    </w:p>
    <w:p>
      <w:r>
        <w:rPr>
          <w:b/>
        </w:rPr>
        <w:t>文号：</w:t>
      </w:r>
      <w:r>
        <w:t>税务机关研究答复；正式方案待发布</w:t>
      </w:r>
    </w:p>
    <w:p>
      <w:r>
        <w:rPr>
          <w:b/>
        </w:rPr>
        <w:t>发布机构：</w:t>
      </w:r>
      <w:r>
        <w:t>越南税务总局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尚未形成新规则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税务机关正在研究电商平台个体和家庭经营者电子发票障碍；年收入超过10亿越盾的主体仍适用现行电子发票要求。</w:t>
      </w:r>
    </w:p>
    <w:p>
      <w:r>
        <w:rPr>
          <w:b/>
        </w:rPr>
        <w:t>关注原因：</w:t>
      </w:r>
      <w:r>
        <w:t>客户容易把研究阶段误读为暂缓或豁免。</w:t>
      </w:r>
    </w:p>
    <w:p>
      <w:r>
        <w:rPr>
          <w:b/>
        </w:rPr>
        <w:t>影响主体：</w:t>
      </w:r>
      <w:r>
        <w:t>电商平台、个体经营者、代运营商及进口后线上销售客户。</w:t>
      </w:r>
    </w:p>
    <w:p>
      <w:r>
        <w:rPr>
          <w:b/>
        </w:rPr>
        <w:t>业务影响：</w:t>
      </w:r>
      <w:r>
        <w:t>报价仍须确认进口主体、销售主体、税号和开票路径。</w:t>
      </w:r>
    </w:p>
    <w:p>
      <w:r>
        <w:rPr>
          <w:b/>
        </w:rPr>
        <w:t>行动建议：</w:t>
      </w:r>
      <w:r>
        <w:t>明确告知“正在研究并非豁免”，留存平台订单、支付流水和进销项发票链。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https://thuehaiquan.tapchikinhtetaichinh.vn/nghien-cuu-thao-go-vuong-mac-hoa-don-dien-tu-cua-ho-kinh-doanh-tren-san-thuong-mai-dien-tu-167305.html</w:t>
      </w:r>
    </w:p>
    <w:p>
      <w:pPr>
        <w:pStyle w:val="Heading2"/>
      </w:pPr>
      <w:r>
        <w:t>9 越南出口商累计面对327起贸易救济案件</w:t>
      </w:r>
    </w:p>
    <w:p>
      <w:r>
        <w:rPr>
          <w:i/>
        </w:rPr>
        <w:t>Diễn đàn Phòng vệ thương mại 2026: Chuyển từ ứng phó sang quản trị rủi ro</w:t>
      </w:r>
    </w:p>
    <w:p>
      <w:r>
        <w:rPr>
          <w:b/>
        </w:rPr>
        <w:t>摘要：</w:t>
      </w:r>
      <w:r>
        <w:t>越南出口商在27个市场累计面对327起贸易救济案件。</w:t>
      </w:r>
    </w:p>
    <w:p>
      <w:r>
        <w:rPr>
          <w:b/>
        </w:rPr>
        <w:t>文号：</w:t>
      </w:r>
      <w:r>
        <w:t>2026年贸易救济论坛数据</w:t>
      </w:r>
    </w:p>
    <w:p>
      <w:r>
        <w:rPr>
          <w:b/>
        </w:rPr>
        <w:t>发布机构：</w:t>
      </w:r>
      <w:r>
        <w:t>越南工贸部贸易救济局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数据截至2026年前9个月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越南出口商在27个市场累计面对327起贸易救济案件，2026年前9个月新增27起，比2025全年多4起；越南已发起62起调查并维持37项进口措施。</w:t>
      </w:r>
    </w:p>
    <w:p>
      <w:r>
        <w:rPr>
          <w:b/>
        </w:rPr>
        <w:t>关注原因：</w:t>
      </w:r>
      <w:r>
        <w:t>原产地、成本和供应链追溯已成为出口报价与客户准入变量。</w:t>
      </w:r>
    </w:p>
    <w:p>
      <w:r>
        <w:rPr>
          <w:b/>
        </w:rPr>
        <w:t>影响主体：</w:t>
      </w:r>
      <w:r>
        <w:t>越美及其他市场出口制造商、贸易商和跨境物流客户。</w:t>
      </w:r>
    </w:p>
    <w:p>
      <w:r>
        <w:rPr>
          <w:b/>
        </w:rPr>
        <w:t>业务影响：</w:t>
      </w:r>
      <w:r>
        <w:t>高风险品类报价需加入原产地及成本资料准备、问卷和核查协同成本。</w:t>
      </w:r>
    </w:p>
    <w:p>
      <w:r>
        <w:rPr>
          <w:b/>
        </w:rPr>
        <w:t>行动建议：</w:t>
      </w:r>
      <w:r>
        <w:t>对涉案品类建立生产商、原料来源、成本和原产地证据清单。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https://thuehaiquan.tapchikinhtetaichinh.vn/dien-dan-phong-ve-thuong-mai-2026-chuyen-tu-ung-pho-sang-quan-tri-rui-ro-167370.html</w:t>
      </w:r>
    </w:p>
    <w:p>
      <w:pPr>
        <w:pStyle w:val="Heading2"/>
      </w:pPr>
      <w:r>
        <w:t>10 拆分设备多批进口须登记清单并跟踪核销</w:t>
      </w:r>
    </w:p>
    <w:p>
      <w:r>
        <w:rPr>
          <w:i/>
        </w:rPr>
        <w:t>Nhập khẩu máy móc tháo rời và bài toán xác định tính đồng bộ</w:t>
      </w:r>
    </w:p>
    <w:p>
      <w:r>
        <w:rPr>
          <w:b/>
        </w:rPr>
        <w:t>摘要：</w:t>
      </w:r>
      <w:r>
        <w:t>多来源多批次拆分设备须登记部件清单并跟踪核销。</w:t>
      </w:r>
    </w:p>
    <w:p>
      <w:r>
        <w:rPr>
          <w:b/>
        </w:rPr>
        <w:t>文号：</w:t>
      </w:r>
      <w:r>
        <w:t>Thông tư 14/2015/TT-BTC第8条（经17/2021修订）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按现行规则执行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机器设备以拆卸状态从多来源、多批次进口时，企业应登记零部件清单和核销跟踪表；证据不足时补充制造技术资料、说明、装配图和目录。</w:t>
      </w:r>
    </w:p>
    <w:p>
      <w:r>
        <w:rPr>
          <w:b/>
        </w:rPr>
        <w:t>关注原因：</w:t>
      </w:r>
      <w:r>
        <w:t>整机或部件归类会改变HS、税率、专检范围和每批申报方式。</w:t>
      </w:r>
    </w:p>
    <w:p>
      <w:r>
        <w:rPr>
          <w:b/>
        </w:rPr>
        <w:t>影响主体：</w:t>
      </w:r>
      <w:r>
        <w:t>成套设备、生产线、分批海运和多供应商采购客户。</w:t>
      </w:r>
    </w:p>
    <w:p>
      <w:r>
        <w:rPr>
          <w:b/>
        </w:rPr>
        <w:t>业务影响：</w:t>
      </w:r>
      <w:r>
        <w:t>报价需增加归类论证、清单登记、跨票核销及技术资料准备成本。</w:t>
      </w:r>
    </w:p>
    <w:p>
      <w:r>
        <w:rPr>
          <w:b/>
        </w:rPr>
        <w:t>行动建议：</w:t>
      </w:r>
      <w:r>
        <w:t>收齐BOM、总装图、功能说明、合同和批次计划；未确认整机条件前不锁定HS。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https://thuehaiquan.tapchikinhtetaichinh.vn/nhap-khau-may-moc-thao-roi-va-bai-toan-xac-dinh-tinh-dong-bo-167368.html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22053/CHQ-NVTHQ原件及134/2016、18/2021修订是否补上退税路径。</w:t>
      </w:r>
    </w:p>
    <w:p>
      <w:pPr>
        <w:pStyle w:val="ListBullet"/>
      </w:pPr>
      <w:r>
        <w:t>311/2026/NĐ-CP各专业机关衔接文件和实际执法分工。</w:t>
      </w:r>
    </w:p>
    <w:p>
      <w:pPr>
        <w:pStyle w:val="ListBullet"/>
      </w:pPr>
      <w:r>
        <w:t>21692/CHQ-CNTT执行后的系统异常、强制校验和区域海关反馈。</w:t>
      </w:r>
    </w:p>
    <w:p>
      <w:pPr>
        <w:pStyle w:val="ListBullet"/>
      </w:pPr>
      <w:r>
        <w:t>127/2026/TT-BTC系统切换及336/2026/NĐ-CP配套接口。</w:t>
      </w:r>
    </w:p>
    <w:p>
      <w:pPr>
        <w:pStyle w:val="ListBullet"/>
      </w:pPr>
      <w:r>
        <w:t>区域海关VI 30起处罚及两起边境食品案件的最终决定。</w:t>
      </w:r>
    </w:p>
    <w:p>
      <w:pPr>
        <w:pStyle w:val="Heading1"/>
      </w:pPr>
      <w:r>
        <w:t>今日关联提醒</w:t>
      </w:r>
    </w:p>
    <w:p>
      <w:r>
        <w:t>重大关务法规详见 越南关务法规预警-2026-09-26.md；同一事项在商业简报仅保留行动影响，避免重复展开。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2026-09-26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