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越南商业政策每日简报 2026-09-22</w:t>
      </w:r>
    </w:p>
    <w:p>
      <w:pPr>
        <w:jc w:val="center"/>
      </w:pPr>
      <w:r>
        <w:rPr>
          <w:color w:val="525252"/>
          <w:sz w:val="19"/>
        </w:rPr>
        <w:t>Skygroup Logistics Viet Nam</w:t>
        <w:br/>
        <w:t>2026年09月22日11:08（北京时间） / 2026年09月22日10:08（越南时间）</w:t>
        <w:br/>
        <w:t>覆盖窗口：2026年9月16日至2026年9月22日</w:t>
      </w:r>
    </w:p>
    <w:p>
      <w:pPr>
        <w:pStyle w:val="Heading1"/>
      </w:pPr>
      <w:r>
        <w:t>核心结论</w:t>
      </w:r>
    </w:p>
    <w:p>
      <w:pPr>
        <w:pStyle w:val="ListBullet"/>
      </w:pPr>
      <w:r>
        <w:t>127/2026/TT-BTC将于10月15日替代旧运输工具申报指标，系统和SOP改造应立即启动。</w:t>
      </w:r>
    </w:p>
    <w:p>
      <w:pPr>
        <w:pStyle w:val="ListBullet"/>
      </w:pPr>
      <w:r>
        <w:t>336/2026/NĐ-CP同日生效，单一窗口统一收件但不改变各专业机关的审批职责。</w:t>
      </w:r>
    </w:p>
    <w:p>
      <w:pPr>
        <w:pStyle w:val="ListBullet"/>
      </w:pPr>
      <w:r>
        <w:t>带民用密码功能复印机存在HS、密码许可和印刷设备管理叠加风险；后续稽查数据显示放行后风险持续存在。</w:t>
      </w:r>
    </w:p>
    <w:p>
      <w:pPr>
        <w:pStyle w:val="Heading1"/>
      </w:pPr>
      <w:r>
        <w:t>今日行动建议</w:t>
      </w:r>
    </w:p>
    <w:p>
      <w:pPr>
        <w:pStyle w:val="ListNumber"/>
      </w:pPr>
      <w:r>
        <w:t>按127号通知附录I至V建立字段差异表，联动船代、车队、航空和铁路代理测试。</w:t>
      </w:r>
    </w:p>
    <w:p>
      <w:pPr>
        <w:pStyle w:val="ListNumber"/>
      </w:pPr>
      <w:r>
        <w:t>建立单一窗口证件类型与责任机关矩阵，明确补件、拒收和纸质回退路径。</w:t>
      </w:r>
    </w:p>
    <w:p>
      <w:pPr>
        <w:pStyle w:val="ListNumber"/>
      </w:pPr>
      <w:r>
        <w:t>复印机及多功能设备询价强制收型号、技术数据和加密功能说明。</w:t>
      </w:r>
    </w:p>
    <w:p>
      <w:pPr>
        <w:pStyle w:val="ListNumber"/>
      </w:pPr>
      <w:r>
        <w:t>抽查加工贸易、DNCX及高频客户近60日HS、估价、原产地和料件核销资料。</w:t>
      </w:r>
    </w:p>
    <w:p>
      <w:pPr>
        <w:pStyle w:val="Heading1"/>
      </w:pPr>
      <w:r>
        <w:t>政策与商业情报</w:t>
      </w:r>
    </w:p>
    <w:p>
      <w:pPr>
        <w:pStyle w:val="Heading2"/>
      </w:pPr>
      <w:r>
        <w:t>1 127号通知统一各类运输工具出入境申报指标</w:t>
      </w:r>
    </w:p>
    <w:p>
      <w:r>
        <w:rPr>
          <w:i/>
        </w:rPr>
        <w:t>Thống nhất chỉ tiêu khai báo phương tiện xuất nhập cảnh, quá cảnh, chuyển cảng</w:t>
      </w:r>
    </w:p>
    <w:p>
      <w:r>
        <w:rPr>
          <w:b/>
        </w:rPr>
        <w:t>摘要：</w:t>
      </w:r>
      <w:r>
        <w:t>10月15日起各类运输工具按独立指标、必填项和代码表申报。</w:t>
      </w:r>
    </w:p>
    <w:p>
      <w:r>
        <w:rPr>
          <w:b/>
        </w:rPr>
        <w:t>文号：</w:t>
      </w:r>
      <w:r>
        <w:t>127/2026/TT-BTC</w:t>
      </w:r>
    </w:p>
    <w:p>
      <w:r>
        <w:rPr>
          <w:b/>
        </w:rPr>
        <w:t>发布机构：</w:t>
      </w:r>
      <w:r>
        <w:t>越南财政部</w:t>
      </w:r>
    </w:p>
    <w:p>
      <w:r>
        <w:rPr>
          <w:b/>
        </w:rPr>
        <w:t>发布日期：</w:t>
      </w:r>
      <w:r>
        <w:t>2026-08-27</w:t>
      </w:r>
    </w:p>
    <w:p>
      <w:r>
        <w:rPr>
          <w:b/>
        </w:rPr>
        <w:t>生效日期：</w:t>
      </w:r>
      <w:r>
        <w:t>2026-10-15</w:t>
      </w:r>
    </w:p>
    <w:p>
      <w:r>
        <w:rPr>
          <w:b/>
        </w:rPr>
        <w:t>状态：</w:t>
      </w:r>
      <w:r>
        <w:t>已签发</w:t>
      </w:r>
    </w:p>
    <w:p>
      <w:r>
        <w:rPr>
          <w:b/>
        </w:rPr>
        <w:t>事件概述：</w:t>
      </w:r>
      <w:r>
        <w:t>通知按海船、航空器、内河船舶、道路车辆和国际联运列车分别设置申报指标、必填字段和代码表，并自生效日起替代50/2018/TT-BTC。</w:t>
      </w:r>
    </w:p>
    <w:p>
      <w:r>
        <w:rPr>
          <w:b/>
        </w:rPr>
        <w:t>关注原因：</w:t>
      </w:r>
      <w:r>
        <w:t>承运人、船代、车队和口岸代理须在生效前完成字段映射和系统测试。</w:t>
      </w:r>
    </w:p>
    <w:p>
      <w:r>
        <w:rPr>
          <w:b/>
        </w:rPr>
        <w:t>影响主体：</w:t>
      </w:r>
      <w:r>
        <w:t>海运、空运、陆运、铁路及内河运输承运人和代理。</w:t>
      </w:r>
    </w:p>
    <w:p>
      <w:r>
        <w:rPr>
          <w:b/>
        </w:rPr>
        <w:t>业务影响：</w:t>
      </w:r>
      <w:r>
        <w:t>漏填必填字段或代码错误可能导致申报退回、口岸等待及额外操作费用。</w:t>
      </w:r>
    </w:p>
    <w:p>
      <w:r>
        <w:rPr>
          <w:b/>
        </w:rPr>
        <w:t>行动建议：</w:t>
      </w:r>
      <w:r>
        <w:t>按附录I至V建立运输方式字段差异表，10月15日前完成模板、接口和操作SOP测试。</w:t>
      </w:r>
    </w:p>
    <w:p>
      <w:r>
        <w:rPr>
          <w:b/>
        </w:rPr>
        <w:t>交叉验证：</w:t>
      </w:r>
      <w:r>
        <w:t>已交叉验证</w:t>
      </w:r>
    </w:p>
    <w:p>
      <w:r>
        <w:rPr>
          <w:b/>
        </w:rPr>
        <w:t>来源：</w:t>
      </w:r>
      <w:r>
        <w:t>https://thuehaiquan.tapchikinhtetaichinh.vn/thong-nhat-chi-tieu-khai-bao-phuong-tien-xuat-nhap-canh-qua-canh-chuyen-cang-167543.html；https://vanban.chinhphu.vn/?classid=1&amp;docid=219370&amp;orggroupid=4&amp;pageid=27160</w:t>
      </w:r>
    </w:p>
    <w:p>
      <w:pPr>
        <w:pStyle w:val="Heading2"/>
      </w:pPr>
      <w:r>
        <w:t>2 336号法令明确单一窗口跨部门处理责任</w:t>
      </w:r>
    </w:p>
    <w:p>
      <w:r>
        <w:rPr>
          <w:i/>
        </w:rPr>
        <w:t>Phân định rõ trách nhiệm xử lý hồ sơ liên ngành theo cơ chế một cửa</w:t>
      </w:r>
    </w:p>
    <w:p>
      <w:r>
        <w:rPr>
          <w:b/>
        </w:rPr>
        <w:t>摘要：</w:t>
      </w:r>
      <w:r>
        <w:t>单一窗口统一收件，但各主管机关仍分别决定专业事项。</w:t>
      </w:r>
    </w:p>
    <w:p>
      <w:r>
        <w:rPr>
          <w:b/>
        </w:rPr>
        <w:t>文号：</w:t>
      </w:r>
      <w:r>
        <w:t>336/2026/NĐ-CP</w:t>
      </w:r>
    </w:p>
    <w:p>
      <w:r>
        <w:rPr>
          <w:b/>
        </w:rPr>
        <w:t>发布机构：</w:t>
      </w:r>
      <w:r>
        <w:t>越南政府</w:t>
      </w:r>
    </w:p>
    <w:p>
      <w:r>
        <w:rPr>
          <w:b/>
        </w:rPr>
        <w:t>发布日期：</w:t>
      </w:r>
      <w:r>
        <w:t>2026-08-22</w:t>
      </w:r>
    </w:p>
    <w:p>
      <w:r>
        <w:rPr>
          <w:b/>
        </w:rPr>
        <w:t>生效日期：</w:t>
      </w:r>
      <w:r>
        <w:t>2026-10-15</w:t>
      </w:r>
    </w:p>
    <w:p>
      <w:r>
        <w:rPr>
          <w:b/>
        </w:rPr>
        <w:t>状态：</w:t>
      </w:r>
      <w:r>
        <w:t>已签发</w:t>
      </w:r>
    </w:p>
    <w:p>
      <w:r>
        <w:rPr>
          <w:b/>
        </w:rPr>
        <w:t>事件概述：</w:t>
      </w:r>
      <w:r>
        <w:t>国家单一窗口统一接收、转送和反馈数据，海关负责门户技术管理，各专业部门仍对本领域证照和审查结果负责；电子拒收转纸质处理时须说明理由。</w:t>
      </w:r>
    </w:p>
    <w:p>
      <w:r>
        <w:rPr>
          <w:b/>
        </w:rPr>
        <w:t>关注原因：</w:t>
      </w:r>
      <w:r>
        <w:t>单一入口不等于单一审批机关，补件和异常处理仍需找对责任部门。</w:t>
      </w:r>
    </w:p>
    <w:p>
      <w:r>
        <w:rPr>
          <w:b/>
        </w:rPr>
        <w:t>影响主体：</w:t>
      </w:r>
      <w:r>
        <w:t>使用国家单一窗口办理海关、边防、检疫、港务及运输手续的企业。</w:t>
      </w:r>
    </w:p>
    <w:p>
      <w:r>
        <w:rPr>
          <w:b/>
        </w:rPr>
        <w:t>业务影响：</w:t>
      </w:r>
      <w:r>
        <w:t>客户资料清单和异常升级路径须按证件类别明确责任部门，避免只向海关追问。</w:t>
      </w:r>
    </w:p>
    <w:p>
      <w:r>
        <w:rPr>
          <w:b/>
        </w:rPr>
        <w:t>行动建议：</w:t>
      </w:r>
      <w:r>
        <w:t>在SOP中增加文件类型、主管机关、补件入口、纸质回退和响应状态字段。</w:t>
      </w:r>
    </w:p>
    <w:p>
      <w:r>
        <w:rPr>
          <w:b/>
        </w:rPr>
        <w:t>交叉验证：</w:t>
      </w:r>
      <w:r>
        <w:t>已交叉验证</w:t>
      </w:r>
    </w:p>
    <w:p>
      <w:r>
        <w:rPr>
          <w:b/>
        </w:rPr>
        <w:t>来源：</w:t>
      </w:r>
      <w:r>
        <w:t>https://thuehaiquan.tapchikinhtetaichinh.vn/phan-dinh-ro-trach-nhiem-xu-ly-ho-so-lien-nganh-theo-co-che-mot-cua-167555.html；https://chinhphu.vn/?classid=0&amp;docid=219265&amp;pageid=27160</w:t>
      </w:r>
    </w:p>
    <w:p>
      <w:pPr>
        <w:pStyle w:val="Heading2"/>
      </w:pPr>
      <w:r>
        <w:t>3 带民用密码功能复印机进口须双重核管理政策</w:t>
      </w:r>
    </w:p>
    <w:p>
      <w:r>
        <w:rPr>
          <w:i/>
        </w:rPr>
        <w:t>Thủ tục nhập khẩu máy photocopy có chức năng mật mã dân sự</w:t>
      </w:r>
    </w:p>
    <w:p>
      <w:r>
        <w:rPr>
          <w:b/>
        </w:rPr>
        <w:t>摘要：</w:t>
      </w:r>
      <w:r>
        <w:t>先核民用密码许可清单，再核印刷设备进口管理要求。</w:t>
      </w:r>
    </w:p>
    <w:p>
      <w:r>
        <w:rPr>
          <w:b/>
        </w:rPr>
        <w:t>文号：</w:t>
      </w:r>
      <w:r>
        <w:t>海关区域II答复；依据211/2025/NĐ-CP等</w:t>
      </w:r>
    </w:p>
    <w:p>
      <w:r>
        <w:rPr>
          <w:b/>
        </w:rPr>
        <w:t>发布机构：</w:t>
      </w:r>
      <w:r>
        <w:t>区域海关第二分局</w:t>
      </w:r>
    </w:p>
    <w:p>
      <w:r>
        <w:rPr>
          <w:b/>
        </w:rPr>
        <w:t>发布日期：</w:t>
      </w:r>
      <w:r>
        <w:t>2026-09-21</w:t>
      </w:r>
    </w:p>
    <w:p>
      <w:r>
        <w:rPr>
          <w:b/>
        </w:rPr>
        <w:t>生效日期：</w:t>
      </w:r>
      <w:r>
        <w:t>按现行规定执行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复印机归类须依据技术资料、功能和用途；属于民用密码产品许可清单的，经营及进出口分别适用许可要求，同时还须核对印刷设备进口管理规定。</w:t>
      </w:r>
    </w:p>
    <w:p>
      <w:r>
        <w:rPr>
          <w:b/>
        </w:rPr>
        <w:t>关注原因：</w:t>
      </w:r>
      <w:r>
        <w:t>同一设备可能同时触发HS归类、民用密码和印刷设备三套要求。</w:t>
      </w:r>
    </w:p>
    <w:p>
      <w:r>
        <w:rPr>
          <w:b/>
        </w:rPr>
        <w:t>影响主体：</w:t>
      </w:r>
      <w:r>
        <w:t>复印机、多功能打印设备、带加密模块办公设备进口商。</w:t>
      </w:r>
    </w:p>
    <w:p>
      <w:r>
        <w:rPr>
          <w:b/>
        </w:rPr>
        <w:t>业务影响：</w:t>
      </w:r>
      <w:r>
        <w:t>缺少技术规格或许可证可能导致退单、补证、仓储和改单费用。</w:t>
      </w:r>
    </w:p>
    <w:p>
      <w:r>
        <w:rPr>
          <w:b/>
        </w:rPr>
        <w:t>行动建议：</w:t>
      </w:r>
      <w:r>
        <w:t>报价前取得型号、加密模块说明、数据表和用途，核211/2025附录II及印刷设备管理清单。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https://thuehaiquan.tapchikinhtetaichinh.vn/thu-tuc-nhap-khau-may-photocopy-co-chuc-nang-mat-ma-dan-su-167531.html</w:t>
      </w:r>
    </w:p>
    <w:p>
      <w:pPr>
        <w:pStyle w:val="Heading2"/>
      </w:pPr>
      <w:r>
        <w:t>4 区域海关V后续稽查补征超过434.1亿越盾</w:t>
      </w:r>
    </w:p>
    <w:p>
      <w:r>
        <w:rPr>
          <w:i/>
        </w:rPr>
        <w:t>Hải quan khu vực V thu vào ngân sách hơn 43 tỷ đồng từ hậu kiểm</w:t>
      </w:r>
    </w:p>
    <w:p>
      <w:r>
        <w:rPr>
          <w:b/>
        </w:rPr>
        <w:t>摘要：</w:t>
      </w:r>
      <w:r>
        <w:t>截至9月14日开展57次后续稽查，补征超过434.1亿越盾。</w:t>
      </w:r>
    </w:p>
    <w:p>
      <w:r>
        <w:rPr>
          <w:b/>
        </w:rPr>
        <w:t>文号：</w:t>
      </w:r>
      <w:r>
        <w:t>含35027/CHQ-KTSTQ及575/KL-CHQ专项依据</w:t>
      </w:r>
    </w:p>
    <w:p>
      <w:r>
        <w:rPr>
          <w:b/>
        </w:rPr>
        <w:t>发布机构：</w:t>
      </w:r>
      <w:r>
        <w:t>区域海关第五分局</w:t>
      </w:r>
    </w:p>
    <w:p>
      <w:r>
        <w:rPr>
          <w:b/>
        </w:rPr>
        <w:t>发布日期：</w:t>
      </w:r>
      <w:r>
        <w:t>2026-09-21</w:t>
      </w:r>
    </w:p>
    <w:p>
      <w:r>
        <w:rPr>
          <w:b/>
        </w:rPr>
        <w:t>生效日期：</w:t>
      </w:r>
      <w:r>
        <w:t>统计截至2026-09-14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区域海关V已开展57次后续稽查，其中21次在海关机关、36次在企业，补征超过434.1亿越盾；辖区约1400家加工、出口生产和DNCX企业。</w:t>
      </w:r>
    </w:p>
    <w:p>
      <w:r>
        <w:rPr>
          <w:b/>
        </w:rPr>
        <w:t>关注原因：</w:t>
      </w:r>
      <w:r>
        <w:t>风险管理正在转向通关后核查，电子、纺织、塑料、木制品及加工贸易客户暴露度较高。</w:t>
      </w:r>
    </w:p>
    <w:p>
      <w:r>
        <w:rPr>
          <w:b/>
        </w:rPr>
        <w:t>影响主体：</w:t>
      </w:r>
      <w:r>
        <w:t>北宁、太原及相关电子、纺织、塑料、木制品、加工贸易和DNCX企业。</w:t>
      </w:r>
    </w:p>
    <w:p>
      <w:r>
        <w:rPr>
          <w:b/>
        </w:rPr>
        <w:t>业务影响：</w:t>
      </w:r>
      <w:r>
        <w:t>报价完成和货物放行不代表风险结束，企业需保留HS、估价、原产地、免税料件和核销证据。</w:t>
      </w:r>
    </w:p>
    <w:p>
      <w:r>
        <w:rPr>
          <w:b/>
        </w:rPr>
        <w:t>行动建议：</w:t>
      </w:r>
      <w:r>
        <w:t>对高频客户抽查近60日申报、BOM、定价、原产地和料件核销，问题票在稽查通知前完成自查。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https://thuehaiquan.tapchikinhtetaichinh.vn/hai-quan-khu-vuc-v-thu-vao-ngan-sach-hon-43-ty-dong-tu-hau-kiem-167535.html</w:t>
      </w:r>
    </w:p>
    <w:p>
      <w:pPr>
        <w:pStyle w:val="Heading2"/>
      </w:pPr>
      <w:r>
        <w:t>5 平台个体经营者电子发票难点仍在研究</w:t>
      </w:r>
    </w:p>
    <w:p>
      <w:r>
        <w:rPr>
          <w:i/>
        </w:rPr>
        <w:t>Nghiên cứu tháo gỡ vướng mắc hóa đơn điện tử của hộ kinh doanh trên sàn thương mại điện tử</w:t>
      </w:r>
    </w:p>
    <w:p>
      <w:r>
        <w:rPr>
          <w:b/>
        </w:rPr>
        <w:t>摘要：</w:t>
      </w:r>
      <w:r>
        <w:t>电子发票障碍仍在研究，现行开票义务尚未被普遍豁免。</w:t>
      </w:r>
    </w:p>
    <w:p>
      <w:r>
        <w:rPr>
          <w:b/>
        </w:rPr>
        <w:t>文号：</w:t>
      </w:r>
      <w:r>
        <w:t>税务机关研究答复；正式方案待发布</w:t>
      </w:r>
    </w:p>
    <w:p>
      <w:r>
        <w:rPr>
          <w:b/>
        </w:rPr>
        <w:t>发布机构：</w:t>
      </w:r>
      <w:r>
        <w:t>越南税务总局</w:t>
      </w:r>
    </w:p>
    <w:p>
      <w:r>
        <w:rPr>
          <w:b/>
        </w:rPr>
        <w:t>发布日期：</w:t>
      </w:r>
      <w:r>
        <w:t>2026-09-18</w:t>
      </w:r>
    </w:p>
    <w:p>
      <w:r>
        <w:rPr>
          <w:b/>
        </w:rPr>
        <w:t>生效日期：</w:t>
      </w:r>
      <w:r>
        <w:t>尚未形成新规则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税务机关正在研究电商平台个体和家庭经营者电子发票障碍；年收入超过10亿越盾的主体仍适用现行电子发票要求。</w:t>
      </w:r>
    </w:p>
    <w:p>
      <w:r>
        <w:rPr>
          <w:b/>
        </w:rPr>
        <w:t>关注原因：</w:t>
      </w:r>
      <w:r>
        <w:t>客户容易把研究阶段误读为暂缓或豁免。</w:t>
      </w:r>
    </w:p>
    <w:p>
      <w:r>
        <w:rPr>
          <w:b/>
        </w:rPr>
        <w:t>影响主体：</w:t>
      </w:r>
      <w:r>
        <w:t>电商平台、个体经营者、代运营商及进口后线上销售客户。</w:t>
      </w:r>
    </w:p>
    <w:p>
      <w:r>
        <w:rPr>
          <w:b/>
        </w:rPr>
        <w:t>业务影响：</w:t>
      </w:r>
      <w:r>
        <w:t>报价仍须确认进口主体、销售主体、税号和开票路径。</w:t>
      </w:r>
    </w:p>
    <w:p>
      <w:r>
        <w:rPr>
          <w:b/>
        </w:rPr>
        <w:t>行动建议：</w:t>
      </w:r>
      <w:r>
        <w:t>明确告知“正在研究并非豁免”，留存平台订单、支付流水和进销项发票链。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https://thuehaiquan.tapchikinhtetaichinh.vn/nghien-cuu-thao-go-vuong-mac-hoa-don-dien-tu-cua-ho-kinh-doanh-tren-san-thuong-mai-dien-tu-167305.html</w:t>
      </w:r>
    </w:p>
    <w:p>
      <w:pPr>
        <w:pStyle w:val="Heading2"/>
      </w:pPr>
      <w:r>
        <w:t>6 越南出口商累计面对327起贸易救济案件</w:t>
      </w:r>
    </w:p>
    <w:p>
      <w:r>
        <w:rPr>
          <w:i/>
        </w:rPr>
        <w:t>Diễn đàn Phòng vệ thương mại 2026: Chuyển từ ứng phó sang quản trị rủi ro</w:t>
      </w:r>
    </w:p>
    <w:p>
      <w:r>
        <w:rPr>
          <w:b/>
        </w:rPr>
        <w:t>摘要：</w:t>
      </w:r>
      <w:r>
        <w:t>越南出口商在27个市场累计面对327起贸易救济案件。</w:t>
      </w:r>
    </w:p>
    <w:p>
      <w:r>
        <w:rPr>
          <w:b/>
        </w:rPr>
        <w:t>文号：</w:t>
      </w:r>
      <w:r>
        <w:t>2026年贸易救济论坛数据</w:t>
      </w:r>
    </w:p>
    <w:p>
      <w:r>
        <w:rPr>
          <w:b/>
        </w:rPr>
        <w:t>发布机构：</w:t>
      </w:r>
      <w:r>
        <w:t>越南工贸部贸易救济局</w:t>
      </w:r>
    </w:p>
    <w:p>
      <w:r>
        <w:rPr>
          <w:b/>
        </w:rPr>
        <w:t>发布日期：</w:t>
      </w:r>
      <w:r>
        <w:t>2026-09-18</w:t>
      </w:r>
    </w:p>
    <w:p>
      <w:r>
        <w:rPr>
          <w:b/>
        </w:rPr>
        <w:t>生效日期：</w:t>
      </w:r>
      <w:r>
        <w:t>数据截至2026年前9个月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越南出口商在27个市场累计面对327起贸易救济案件，2026年前9个月新增27起，比2025全年多4起；越南已发起62起调查并维持37项进口措施。</w:t>
      </w:r>
    </w:p>
    <w:p>
      <w:r>
        <w:rPr>
          <w:b/>
        </w:rPr>
        <w:t>关注原因：</w:t>
      </w:r>
      <w:r>
        <w:t>原产地、成本和供应链追溯已成为出口报价与客户准入变量。</w:t>
      </w:r>
    </w:p>
    <w:p>
      <w:r>
        <w:rPr>
          <w:b/>
        </w:rPr>
        <w:t>影响主体：</w:t>
      </w:r>
      <w:r>
        <w:t>越美及其他市场出口制造商、贸易商和跨境物流客户。</w:t>
      </w:r>
    </w:p>
    <w:p>
      <w:r>
        <w:rPr>
          <w:b/>
        </w:rPr>
        <w:t>业务影响：</w:t>
      </w:r>
      <w:r>
        <w:t>高风险品类报价需加入原产地及成本资料准备、问卷和核查协同成本。</w:t>
      </w:r>
    </w:p>
    <w:p>
      <w:r>
        <w:rPr>
          <w:b/>
        </w:rPr>
        <w:t>行动建议：</w:t>
      </w:r>
      <w:r>
        <w:t>对涉案品类建立生产商、原料来源、成本和原产地证据清单。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https://thuehaiquan.tapchikinhtetaichinh.vn/dien-dan-phong-ve-thuong-mai-2026-chuyen-tu-ung-pho-sang-quan-tri-rui-ro-167370.html</w:t>
      </w:r>
    </w:p>
    <w:p>
      <w:pPr>
        <w:pStyle w:val="Heading2"/>
      </w:pPr>
      <w:r>
        <w:t>7 拆分设备多批进口须登记清单并跟踪核销</w:t>
      </w:r>
    </w:p>
    <w:p>
      <w:r>
        <w:rPr>
          <w:i/>
        </w:rPr>
        <w:t>Nhập khẩu máy móc tháo rời và bài toán xác định tính đồng bộ</w:t>
      </w:r>
    </w:p>
    <w:p>
      <w:r>
        <w:rPr>
          <w:b/>
        </w:rPr>
        <w:t>摘要：</w:t>
      </w:r>
      <w:r>
        <w:t>多来源多批次拆分设备须登记部件清单并跟踪核销。</w:t>
      </w:r>
    </w:p>
    <w:p>
      <w:r>
        <w:rPr>
          <w:b/>
        </w:rPr>
        <w:t>文号：</w:t>
      </w:r>
      <w:r>
        <w:t>Thông tư 14/2015/TT-BTC第8条（经17/2021修订）</w:t>
      </w:r>
    </w:p>
    <w:p>
      <w:r>
        <w:rPr>
          <w:b/>
        </w:rPr>
        <w:t>发布机构：</w:t>
      </w:r>
      <w:r>
        <w:t>越南海关总局</w:t>
      </w:r>
    </w:p>
    <w:p>
      <w:r>
        <w:rPr>
          <w:b/>
        </w:rPr>
        <w:t>发布日期：</w:t>
      </w:r>
      <w:r>
        <w:t>2026-09-18</w:t>
      </w:r>
    </w:p>
    <w:p>
      <w:r>
        <w:rPr>
          <w:b/>
        </w:rPr>
        <w:t>生效日期：</w:t>
      </w:r>
      <w:r>
        <w:t>按现行规则执行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机器设备以拆卸状态从多来源、多批次进口时，企业应登记零部件清单和核销跟踪表；证据不足时补充制造技术资料、说明、装配图和目录。</w:t>
      </w:r>
    </w:p>
    <w:p>
      <w:r>
        <w:rPr>
          <w:b/>
        </w:rPr>
        <w:t>关注原因：</w:t>
      </w:r>
      <w:r>
        <w:t>整机或部件归类会改变HS、税率、专检范围和每批申报方式。</w:t>
      </w:r>
    </w:p>
    <w:p>
      <w:r>
        <w:rPr>
          <w:b/>
        </w:rPr>
        <w:t>影响主体：</w:t>
      </w:r>
      <w:r>
        <w:t>成套设备、生产线、分批海运和多供应商采购客户。</w:t>
      </w:r>
    </w:p>
    <w:p>
      <w:r>
        <w:rPr>
          <w:b/>
        </w:rPr>
        <w:t>业务影响：</w:t>
      </w:r>
      <w:r>
        <w:t>报价需增加归类论证、清单登记、跨票核销及技术资料准备成本。</w:t>
      </w:r>
    </w:p>
    <w:p>
      <w:r>
        <w:rPr>
          <w:b/>
        </w:rPr>
        <w:t>行动建议：</w:t>
      </w:r>
      <w:r>
        <w:t>收齐BOM、总装图、功能说明、合同和批次计划；未确认整机条件前不锁定HS。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https://thuehaiquan.tapchikinhtetaichinh.vn/nhap-khau-may-moc-thao-roi-va-bai-toan-xac-dinh-tinh-dong-bo-167368.html</w:t>
      </w:r>
    </w:p>
    <w:p>
      <w:pPr>
        <w:pStyle w:val="Heading1"/>
      </w:pPr>
      <w:r>
        <w:t>未来7天观察事项</w:t>
      </w:r>
    </w:p>
    <w:p>
      <w:pPr>
        <w:pStyle w:val="ListBullet"/>
      </w:pPr>
      <w:r>
        <w:t>127/2026/TT-BTC代码表上线、系统切换及各口岸通知。</w:t>
      </w:r>
    </w:p>
    <w:p>
      <w:pPr>
        <w:pStyle w:val="ListBullet"/>
      </w:pPr>
      <w:r>
        <w:t>336/2026/NĐ-CP各主管部门配套接口和纸质回退细则。</w:t>
      </w:r>
    </w:p>
    <w:p>
      <w:pPr>
        <w:pStyle w:val="ListBullet"/>
      </w:pPr>
      <w:r>
        <w:t>带密码功能复印机具体型号与211/2025附录II匹配。</w:t>
      </w:r>
    </w:p>
    <w:p>
      <w:pPr>
        <w:pStyle w:val="ListBullet"/>
      </w:pPr>
      <w:r>
        <w:t>5904/CĐBVN-QLVT附件企业和车辆名单。</w:t>
      </w:r>
    </w:p>
    <w:p>
      <w:pPr>
        <w:pStyle w:val="ListBullet"/>
      </w:pPr>
      <w:r>
        <w:t>两起无来源食品案件最终处罚结果。</w:t>
      </w:r>
    </w:p>
    <w:p>
      <w:pPr>
        <w:pStyle w:val="Heading1"/>
      </w:pPr>
      <w:r>
        <w:t>今日关联提醒</w:t>
      </w:r>
    </w:p>
    <w:p>
      <w:r>
        <w:t>重大关务法规详见 越南关务法规预警-2026-09-22.md；同一事项在商业简报仅保留行动影响，避免重复展开。</w:t>
      </w:r>
    </w:p>
    <w:sectPr w:rsidR="00FC693F" w:rsidRPr="0006063C" w:rsidSect="00034616">
      <w:footerReference w:type="default" r:id="rId9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6"/>
      </w:rPr>
      <w:t>Skygroup Logistics Viet Nam Company Limited | vietnam@goskygroup.vn | +84-0832756118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越南商业政策每日简报 2026-09-22</dc:title>
  <dc:subject>越南商业政策、关务与合规管理层简报</dc:subject>
  <dc:creator>Skygroup Logistics Viet Nam Company Limited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