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2026-09-17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2026年09月17日10:45（北京时间） / 2026年09月17日09:45（越南时间）</w:t>
        <w:br/>
        <w:t>覆盖窗口：2026年9月11日至2026年9月17日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136/2026/TT-BTC已于9月15日生效，消费税货物出口证据链和转内销税务处理应立即复核。</w:t>
      </w:r>
    </w:p>
    <w:p>
      <w:pPr>
        <w:pStyle w:val="ListBullet"/>
      </w:pPr>
      <w:r>
        <w:t>海关明确进口原标签缺少原产地不符合通关规定；装运前标签实拍应升级为强制资料。</w:t>
      </w:r>
    </w:p>
    <w:p>
      <w:pPr>
        <w:pStyle w:val="ListBullet"/>
      </w:pPr>
      <w:r>
        <w:t>9月16日吉莱港9300余件假冒商标货物已刑事立案，品牌授权和申报一致性需前置核验。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消费税货物逐票核合同、发票、清算、报关单和非现金付款，转内销方案单列税费。</w:t>
      </w:r>
    </w:p>
    <w:p>
      <w:pPr>
        <w:pStyle w:val="ListNumber"/>
      </w:pPr>
      <w:r>
        <w:t>所有进口委托增加原标签实拍，至少核品名、原产地、境外生产者或责任方。</w:t>
      </w:r>
    </w:p>
    <w:p>
      <w:pPr>
        <w:pStyle w:val="ListNumber"/>
      </w:pPr>
      <w:r>
        <w:t>品牌轴承、汽配和消费品核授权、商标、型号、包装及原产地，无授权链不按普通货报价。</w:t>
      </w:r>
    </w:p>
    <w:p>
      <w:pPr>
        <w:pStyle w:val="ListNumber"/>
      </w:pPr>
      <w:r>
        <w:t>工厂搬迁项目先核海关通知范围和时点，再安排设备、库存和仓库迁移。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1 136号通函已生效：出口委托链补强消费税证明</w:t>
      </w:r>
    </w:p>
    <w:p>
      <w:r>
        <w:rPr>
          <w:i/>
        </w:rPr>
        <w:t>Thông tư số 136/2026/TT-BTC sửa đổi hồ sơ hàng hóa xuất khẩu thuộc diện thuế tiêu thụ đặc biệt</w:t>
      </w:r>
    </w:p>
    <w:p>
      <w:r>
        <w:rPr>
          <w:b/>
        </w:rPr>
        <w:t>摘要：</w:t>
      </w:r>
      <w:r>
        <w:t>消费税货物出口须补齐合同、清算与非现金付款证据。</w:t>
      </w:r>
    </w:p>
    <w:p>
      <w:r>
        <w:rPr>
          <w:b/>
        </w:rPr>
        <w:t>文号：</w:t>
      </w:r>
      <w:r>
        <w:t>136/2026/TT-BTC</w:t>
      </w:r>
    </w:p>
    <w:p>
      <w:r>
        <w:rPr>
          <w:b/>
        </w:rPr>
        <w:t>发布机构：</w:t>
      </w:r>
      <w:r>
        <w:t>越南财政部</w:t>
      </w:r>
    </w:p>
    <w:p>
      <w:r>
        <w:rPr>
          <w:b/>
        </w:rPr>
        <w:t>发布日期：</w:t>
      </w:r>
      <w:r>
        <w:t>2026-09-14</w:t>
      </w:r>
    </w:p>
    <w:p>
      <w:r>
        <w:rPr>
          <w:b/>
        </w:rPr>
        <w:t>生效日期：</w:t>
      </w:r>
      <w:r>
        <w:t>2026-09-15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财政部修订消费税出口货物档案规则；海关要求区域海关统一落实。出口销售或委托出口应留存合同、发票、清算记录、报关单及非现金付款凭证。</w:t>
      </w:r>
    </w:p>
    <w:p>
      <w:r>
        <w:rPr>
          <w:b/>
        </w:rPr>
        <w:t>关注原因：</w:t>
      </w:r>
      <w:r>
        <w:t>规则发布次日即生效，资料链断裂会导致本应出口的货物在境内销售时补缴消费税。</w:t>
      </w:r>
    </w:p>
    <w:p>
      <w:r>
        <w:rPr>
          <w:b/>
        </w:rPr>
        <w:t>影响主体：</w:t>
      </w:r>
      <w:r>
        <w:t>生产、加工或委托出口酒类、烟草、汽车等消费税货物的企业及代理。</w:t>
      </w:r>
    </w:p>
    <w:p>
      <w:r>
        <w:rPr>
          <w:b/>
        </w:rPr>
        <w:t>业务影响：</w:t>
      </w:r>
      <w:r>
        <w:t>报价应区分出口完成与转内销两种税费路径；清算记录须能关联合同、报关单和付款凭证。</w:t>
      </w:r>
    </w:p>
    <w:p>
      <w:r>
        <w:rPr>
          <w:b/>
        </w:rPr>
        <w:t>行动建议：</w:t>
      </w:r>
      <w:r>
        <w:t>立即核对在途消费税货物的合同、委托、发票、报关单和非现金付款证据，转内销情形单列税费。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https://vanban.chinhphu.vn/?classid=1&amp;docid=219478&amp;orggroupid=4&amp;pageid=27160；https://thuehaiquan.tapchikinhtetaichinh.vn/hai-quan-khan-truong-trien-khai-quy-dinh-moi-ve-thue-tieu-thu-dac-biet-167226.html</w:t>
      </w:r>
    </w:p>
    <w:p>
      <w:pPr>
        <w:pStyle w:val="Heading2"/>
      </w:pPr>
      <w:r>
        <w:t>2 进口原标签缺原产地不符合通关要求</w:t>
      </w:r>
    </w:p>
    <w:p>
      <w:r>
        <w:rPr>
          <w:i/>
        </w:rPr>
        <w:t>Nhãn gốc hàng nhập khẩu phải thể hiện xuất xứ</w:t>
      </w:r>
    </w:p>
    <w:p>
      <w:r>
        <w:rPr>
          <w:b/>
        </w:rPr>
        <w:t>摘要：</w:t>
      </w:r>
      <w:r>
        <w:t>进口原标签须在通关时标示品名、原产地和境外责任方。</w:t>
      </w:r>
    </w:p>
    <w:p>
      <w:r>
        <w:rPr>
          <w:b/>
        </w:rPr>
        <w:t>文号：</w:t>
      </w:r>
      <w:r>
        <w:t>37/2026/NĐ-CP；119/2017/NĐ-CP（经126/2021/NĐ-CP修订）</w:t>
      </w:r>
    </w:p>
    <w:p>
      <w:r>
        <w:rPr>
          <w:b/>
        </w:rPr>
        <w:t>发布机构：</w:t>
      </w:r>
      <w:r>
        <w:t>越南海关总局答复；越南政府</w:t>
      </w:r>
    </w:p>
    <w:p>
      <w:r>
        <w:rPr>
          <w:b/>
        </w:rPr>
        <w:t>发布日期：</w:t>
      </w:r>
      <w:r>
        <w:t>2026-09-17</w:t>
      </w:r>
    </w:p>
    <w:p>
      <w:r>
        <w:rPr>
          <w:b/>
        </w:rPr>
        <w:t>生效日期：</w:t>
      </w:r>
      <w:r>
        <w:t>37/2026/NĐ-CP自2026-01-23生效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海关明确，进口货物原标签在办理通关时必须体现货物名称、原产地以及境外生产者或责任主体信息；缺少原产地不符合规定。</w:t>
      </w:r>
    </w:p>
    <w:p>
      <w:r>
        <w:rPr>
          <w:b/>
        </w:rPr>
        <w:t>关注原因：</w:t>
      </w:r>
      <w:r>
        <w:t>补贴越文标签是在流通前完成，不能替代通关时原标签必备信息。</w:t>
      </w:r>
    </w:p>
    <w:p>
      <w:r>
        <w:rPr>
          <w:b/>
        </w:rPr>
        <w:t>影响主体：</w:t>
      </w:r>
      <w:r>
        <w:t>所有进口商，尤其OEM、贴牌、电商、设备和消费品客户。</w:t>
      </w:r>
    </w:p>
    <w:p>
      <w:r>
        <w:rPr>
          <w:b/>
        </w:rPr>
        <w:t>业务影响：</w:t>
      </w:r>
      <w:r>
        <w:t>装运前未审标签可能触发整改、退运、仓储及处罚风险，清关报价须列标签前审条件。</w:t>
      </w:r>
    </w:p>
    <w:p>
      <w:r>
        <w:rPr>
          <w:b/>
        </w:rPr>
        <w:t>行动建议：</w:t>
      </w:r>
      <w:r>
        <w:t>要求客户装运前提交实拍原标签，核品名、原产地、境外责任方；缺项先整改再出运。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https://thuehaiquan.tapchikinhtetaichinh.vn/nhan-goc-hang-nhap-khau-phai-the-hien-xuat-xu-167227.html；https://vanban.chinhphu.vn/default.aspx?docid=216764&amp;pageid=27160</w:t>
      </w:r>
    </w:p>
    <w:p>
      <w:pPr>
        <w:pStyle w:val="Heading2"/>
      </w:pPr>
      <w:r>
        <w:t>3 财政部更正89号通函部分申报表代码</w:t>
      </w:r>
    </w:p>
    <w:p>
      <w:r>
        <w:rPr>
          <w:i/>
        </w:rPr>
        <w:t>Đính chính kỹ thuật tại Thông tư số 89/2026/TT-BTC về mẫu biểu khai thuế</w:t>
      </w:r>
    </w:p>
    <w:p>
      <w:r>
        <w:rPr>
          <w:b/>
        </w:rPr>
        <w:t>摘要：</w:t>
      </w:r>
      <w:r>
        <w:t>2551号决定更正经营个人及彩票相关申报表代码。</w:t>
      </w:r>
    </w:p>
    <w:p>
      <w:r>
        <w:rPr>
          <w:b/>
        </w:rPr>
        <w:t>文号：</w:t>
      </w:r>
      <w:r>
        <w:t>2551/QĐ-BTC；89/2026/TT-BTC</w:t>
      </w:r>
    </w:p>
    <w:p>
      <w:r>
        <w:rPr>
          <w:b/>
        </w:rPr>
        <w:t>发布机构：</w:t>
      </w:r>
      <w:r>
        <w:t>越南财政部</w:t>
      </w:r>
    </w:p>
    <w:p>
      <w:r>
        <w:rPr>
          <w:b/>
        </w:rPr>
        <w:t>发布日期：</w:t>
      </w:r>
      <w:r>
        <w:t>2026-09-15</w:t>
      </w:r>
    </w:p>
    <w:p>
      <w:r>
        <w:rPr>
          <w:b/>
        </w:rPr>
        <w:t>生效日期：</w:t>
      </w:r>
      <w:r>
        <w:t>2026-09-15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财政部2551/QĐ-BTC更正89/2026/TT-BTC第99条第5款部分被替换申报表名称及代码，更正内容构成通函不可分割部分。</w:t>
      </w:r>
    </w:p>
    <w:p>
      <w:r>
        <w:rPr>
          <w:b/>
        </w:rPr>
        <w:t>关注原因：</w:t>
      </w:r>
      <w:r>
        <w:t>使用旧表代码可能造成申报退回或归档错误，需同步税务模板。</w:t>
      </w:r>
    </w:p>
    <w:p>
      <w:r>
        <w:rPr>
          <w:b/>
        </w:rPr>
        <w:t>影响主体：</w:t>
      </w:r>
      <w:r>
        <w:t>财务、税务代理、个体经营及涉及相关申报表的客户。</w:t>
      </w:r>
    </w:p>
    <w:p>
      <w:r>
        <w:rPr>
          <w:b/>
        </w:rPr>
        <w:t>业务影响：</w:t>
      </w:r>
      <w:r>
        <w:t>不改变进出口税率，但会影响税表版本、内部系统映射和申报校验。</w:t>
      </w:r>
    </w:p>
    <w:p>
      <w:r>
        <w:rPr>
          <w:b/>
        </w:rPr>
        <w:t>行动建议：</w:t>
      </w:r>
      <w:r>
        <w:t>税务及财务模板库核对01/XSBHDCMG-CNKD等更正代码，停止沿用旧编号。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https://thuehaiquan.tapchikinhtetaichinh.vn/dinh-chinh-ky-thuat-tai-thong-tu-so-89-2026-tt-btc-ve-mau-bieu-khai-thue-167203.html</w:t>
      </w:r>
    </w:p>
    <w:p>
      <w:pPr>
        <w:pStyle w:val="Heading2"/>
      </w:pPr>
      <w:r>
        <w:t>4 谅山追缴电商经营税款113亿越盾</w:t>
      </w:r>
    </w:p>
    <w:p>
      <w:r>
        <w:rPr>
          <w:i/>
        </w:rPr>
        <w:t>Thuế tỉnh Lạng Sơn truy thu 11,3 tỷ đồng từ cá nhân kinh doanh thương mại điện tử</w:t>
      </w:r>
    </w:p>
    <w:p>
      <w:r>
        <w:rPr>
          <w:b/>
        </w:rPr>
        <w:t>摘要：</w:t>
      </w:r>
      <w:r>
        <w:t>34名电商经营者被追缴、加收滞纳金并处罚共113亿越盾。</w:t>
      </w:r>
    </w:p>
    <w:p>
      <w:r>
        <w:rPr>
          <w:b/>
        </w:rPr>
        <w:t>文号：</w:t>
      </w:r>
      <w:r>
        <w:t>地方税务管理通报</w:t>
      </w:r>
    </w:p>
    <w:p>
      <w:r>
        <w:rPr>
          <w:b/>
        </w:rPr>
        <w:t>发布机构：</w:t>
      </w:r>
      <w:r>
        <w:t>谅山省税务局</w:t>
      </w:r>
    </w:p>
    <w:p>
      <w:r>
        <w:rPr>
          <w:b/>
        </w:rPr>
        <w:t>发布日期：</w:t>
      </w:r>
      <w:r>
        <w:t>2026-09-16</w:t>
      </w:r>
    </w:p>
    <w:p>
      <w:r>
        <w:rPr>
          <w:b/>
        </w:rPr>
        <w:t>生效日期：</w:t>
      </w:r>
      <w:r>
        <w:t>数据截至2026-08-31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谅山税务机关对34名电商经营者追缴税款、滞纳金并处罚合计113亿越盾；前8月160人完成税号登记并提交628份申报。</w:t>
      </w:r>
    </w:p>
    <w:p>
      <w:r>
        <w:rPr>
          <w:b/>
        </w:rPr>
        <w:t>关注原因：</w:t>
      </w:r>
      <w:r>
        <w:t>跨境电商、代运营和个人卖家税号、平台申报及收入数据比对正在加强。</w:t>
      </w:r>
    </w:p>
    <w:p>
      <w:r>
        <w:rPr>
          <w:b/>
        </w:rPr>
        <w:t>影响主体：</w:t>
      </w:r>
      <w:r>
        <w:t>平台卖家、直播电商、个人经营者、进口后线上分销客户。</w:t>
      </w:r>
    </w:p>
    <w:p>
      <w:r>
        <w:rPr>
          <w:b/>
        </w:rPr>
        <w:t>业务影响：</w:t>
      </w:r>
      <w:r>
        <w:t>报价之外应提示进口主体、销售主体和纳税主体一致性，留存平台流水、发票和完税凭证。</w:t>
      </w:r>
    </w:p>
    <w:p>
      <w:r>
        <w:rPr>
          <w:b/>
        </w:rPr>
        <w:t>行动建议：</w:t>
      </w:r>
      <w:r>
        <w:t>对电商客户增加税号、平台主体、发票链和进口主体一致性核验，不承诺税务包办。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https://thuehaiquan.tapchikinhtetaichinh.vn/thue-tinh-lang-son-truy-thu-11-3-ty-dong-tu-ca-nhan-kinh-doanh-thuong-mai-dien-tu-167145.html</w:t>
      </w:r>
    </w:p>
    <w:p>
      <w:pPr>
        <w:pStyle w:val="Heading2"/>
      </w:pPr>
      <w:r>
        <w:t>5 高平与宣光口岸8月贸易额同比增44%</w:t>
      </w:r>
    </w:p>
    <w:p>
      <w:r>
        <w:rPr>
          <w:i/>
        </w:rPr>
        <w:t>Hải quan khu vực XVI thúc đẩy xuất nhập khẩu qua Cao Bằng và Tuyên Quang</w:t>
      </w:r>
    </w:p>
    <w:p>
      <w:r>
        <w:rPr>
          <w:b/>
        </w:rPr>
        <w:t>摘要：</w:t>
      </w:r>
      <w:r>
        <w:t>区域十六8月贸易额3.478亿美元，红色通道占1.67%。</w:t>
      </w:r>
    </w:p>
    <w:p>
      <w:r>
        <w:rPr>
          <w:b/>
        </w:rPr>
        <w:t>文号：</w:t>
      </w:r>
      <w:r>
        <w:t>区域海关月度运营数据</w:t>
      </w:r>
    </w:p>
    <w:p>
      <w:r>
        <w:rPr>
          <w:b/>
        </w:rPr>
        <w:t>发布机构：</w:t>
      </w:r>
      <w:r>
        <w:t>越南区域海关第十六分局</w:t>
      </w:r>
    </w:p>
    <w:p>
      <w:r>
        <w:rPr>
          <w:b/>
        </w:rPr>
        <w:t>发布日期：</w:t>
      </w:r>
      <w:r>
        <w:t>2026-09-16</w:t>
      </w:r>
    </w:p>
    <w:p>
      <w:r>
        <w:rPr>
          <w:b/>
        </w:rPr>
        <w:t>生效日期：</w:t>
      </w:r>
      <w:r>
        <w:t>数据期2026-07-15至2026-08-14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区域十六报告期贸易额3.478亿美元，同比增44%；绿、黄、红通道分别占68.09%、30.23%、1.67%。</w:t>
      </w:r>
    </w:p>
    <w:p>
      <w:r>
        <w:rPr>
          <w:b/>
        </w:rPr>
        <w:t>关注原因：</w:t>
      </w:r>
      <w:r>
        <w:t>中越边境农产品、纺织原料及设备运输可据此判断口岸流量和查验结构。</w:t>
      </w:r>
    </w:p>
    <w:p>
      <w:r>
        <w:rPr>
          <w:b/>
        </w:rPr>
        <w:t>影响主体：</w:t>
      </w:r>
      <w:r>
        <w:t>经高平、宣光口岸进出口的农产品、纺织原料、机械和边贸客户。</w:t>
      </w:r>
    </w:p>
    <w:p>
      <w:r>
        <w:rPr>
          <w:b/>
        </w:rPr>
        <w:t>业务影响：</w:t>
      </w:r>
      <w:r>
        <w:t>红色通道比例低不等于个票低风险；报价仍需按品类、企业和单证质量预留查验条件。</w:t>
      </w:r>
    </w:p>
    <w:p>
      <w:r>
        <w:rPr>
          <w:b/>
        </w:rPr>
        <w:t>行动建议：</w:t>
      </w:r>
      <w:r>
        <w:t>边境项目报价注明口岸、货类和查验触发费；农产品客户提前核检疫与边境通关窗口。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https://thuehaiquan.tapchikinhtetaichinh.vn/hai-quan-khu-vuc-xvi-thuc-day-xuat-nhap-khau-qua-cao-bang-va-tuyen-quang-167192.html</w:t>
      </w:r>
    </w:p>
    <w:p>
      <w:pPr>
        <w:pStyle w:val="Heading2"/>
      </w:pPr>
      <w:r>
        <w:t>6 加工出口企业变更生产场所须按情形通知海关</w:t>
      </w:r>
    </w:p>
    <w:p>
      <w:r>
        <w:rPr>
          <w:i/>
        </w:rPr>
        <w:t>Khi nào doanh nghiệp phải thông báo thay đổi cơ sở sản xuất với Hải quan?</w:t>
      </w:r>
    </w:p>
    <w:p>
      <w:r>
        <w:rPr>
          <w:b/>
        </w:rPr>
        <w:t>摘要：</w:t>
      </w:r>
      <w:r>
        <w:t>变更生产地、仓储地或设备前应按现行规则向主管海关通知。</w:t>
      </w:r>
    </w:p>
    <w:p>
      <w:r>
        <w:rPr>
          <w:b/>
        </w:rPr>
        <w:t>文号：</w:t>
      </w:r>
      <w:r>
        <w:t>08/2015/NĐ-CP第37条（经167/2025/NĐ-CP修订）</w:t>
      </w:r>
    </w:p>
    <w:p>
      <w:r>
        <w:rPr>
          <w:b/>
        </w:rPr>
        <w:t>发布机构：</w:t>
      </w:r>
      <w:r>
        <w:t>越南海关总局答复</w:t>
      </w:r>
    </w:p>
    <w:p>
      <w:r>
        <w:rPr>
          <w:b/>
        </w:rPr>
        <w:t>发布日期：</w:t>
      </w:r>
      <w:r>
        <w:t>2026-09-16</w:t>
      </w:r>
    </w:p>
    <w:p>
      <w:r>
        <w:rPr>
          <w:b/>
        </w:rPr>
        <w:t>生效日期：</w:t>
      </w:r>
      <w:r>
        <w:t>按现行法规执行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海关答复指出，加工及出口生产企业变更生产场所、货物存放地点、机器设备时，应结合变更内容和发生时间按规定通知主管海关。</w:t>
      </w:r>
    </w:p>
    <w:p>
      <w:r>
        <w:rPr>
          <w:b/>
        </w:rPr>
        <w:t>关注原因：</w:t>
      </w:r>
      <w:r>
        <w:t>厂址、仓库或设备先变更后补报，容易在后续核查和决算中形成账实不一致。</w:t>
      </w:r>
    </w:p>
    <w:p>
      <w:r>
        <w:rPr>
          <w:b/>
        </w:rPr>
        <w:t>影响主体：</w:t>
      </w:r>
      <w:r>
        <w:t>DNCX、加工贸易、出口生产企业及工厂搬迁项目。</w:t>
      </w:r>
    </w:p>
    <w:p>
      <w:r>
        <w:rPr>
          <w:b/>
        </w:rPr>
        <w:t>业务影响：</w:t>
      </w:r>
      <w:r>
        <w:t>搬迁报价除运输外，应加入海关通知、库存盘点、设备清册和系统资料更新。</w:t>
      </w:r>
    </w:p>
    <w:p>
      <w:r>
        <w:rPr>
          <w:b/>
        </w:rPr>
        <w:t>行动建议：</w:t>
      </w:r>
      <w:r>
        <w:t>工厂搬迁询盘先收旧新地址、IRC、仓库、设备和库存清单，并书面确认通知时点。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https://thuehaiquan.tapchikinhtetaichinh.vn/khi-nao-doanh-nghiep-phai-thong-bao-thay-doi-co-so-san-xuat-voi-hai-quan-167170.html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136/2026/TT-BTC在各区域海关的首批执行反馈及清算记录格式。</w:t>
      </w:r>
    </w:p>
    <w:p>
      <w:pPr>
        <w:pStyle w:val="ListBullet"/>
      </w:pPr>
      <w:r>
        <w:t>进口原标签缺原产地的现场整改、退运或处罚尺度。</w:t>
      </w:r>
    </w:p>
    <w:p>
      <w:pPr>
        <w:pStyle w:val="ListBullet"/>
      </w:pPr>
      <w:r>
        <w:t>1793/QĐ-HQKV2走私案的涉案货值、刑事处理和知识产权后续。</w:t>
      </w:r>
    </w:p>
    <w:p>
      <w:pPr>
        <w:pStyle w:val="ListBullet"/>
      </w:pPr>
      <w:r>
        <w:t>2551/QĐ-BTC官方原件及税表系统代码更新。</w:t>
      </w:r>
    </w:p>
    <w:p>
      <w:pPr>
        <w:pStyle w:val="ListBullet"/>
      </w:pPr>
      <w:r>
        <w:t>加工出口企业变更生产场所的个案公文原件与主管海关书面口径。</w:t>
      </w:r>
    </w:p>
    <w:p>
      <w:pPr>
        <w:pStyle w:val="Heading1"/>
      </w:pPr>
      <w:r>
        <w:t>今日关联提醒</w:t>
      </w:r>
    </w:p>
    <w:p>
      <w:r>
        <w:t>重大关务法规详见 越南关务法规预警-2026-09-17.md；同一事项在商业简报仅保留行动影响，避免重复展开。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2026-09-17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