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越南商业政策每日简报 2026-09-16</w:t>
      </w:r>
    </w:p>
    <w:p>
      <w:r>
        <w:t>生成：2026年09月16日10:01（北京时间） / 2026年09月16日09:01（越南时间）</w:t>
      </w:r>
    </w:p>
    <w:p>
      <w:r>
        <w:t>核心结论</w:t>
      </w:r>
    </w:p>
    <w:p>
      <w:r>
        <w:t>今日重点是85号分类通函生效后的首个工作日执行复核；HS归类资料需继续补齐。</w:t>
      </w:r>
    </w:p>
    <w:p>
      <w:r>
        <w:t>48/2026/TT-BCT和56/2026/TT-BKHCN均已生效，二手货、粗钻、配额货和旧设备询盘必须前置筛查。</w:t>
      </w:r>
    </w:p>
    <w:p>
      <w:r>
        <w:t>本期处罚案例为查获/拟处理事件，最终罚款未披露，不能写成已处罚结论。</w:t>
      </w:r>
    </w:p>
    <w:p>
      <w:r>
        <w:t>今日行动建议</w:t>
      </w:r>
    </w:p>
    <w:p>
      <w:r>
        <w:t>9月15日起申报的机械、电器、化工和复合材料票据，今日补齐技术资料并记录归类依据。</w:t>
      </w:r>
    </w:p>
    <w:p>
      <w:r>
        <w:t>二手消费品、粗钻、糖盐烟叶、旧设备询盘进入高风险台账，先核准入再报价。</w:t>
      </w:r>
    </w:p>
    <w:p>
      <w:r>
        <w:t>食品、酒类、饲料和动物源食品先核证书、标签和批次追溯，报价列冷库、查验、滞港触发条件。</w:t>
      </w:r>
    </w:p>
    <w:p>
      <w:r>
        <w:t>处罚案例用于客户培训：无合法来源凭证的境内流转货不承接无条件包清关。</w:t>
      </w:r>
    </w:p>
    <w:p>
      <w:r>
        <w:t>政策条目</w:t>
      </w:r>
    </w:p>
    <w:p>
      <w:r>
        <w:t>1. 85号分类通函今日生效：HS归类按技术本质复核</w:t>
      </w:r>
    </w:p>
    <w:p>
      <w:r>
        <w:t>85号通函已生效，继续按技术特征复核HS资料。</w:t>
      </w:r>
    </w:p>
    <w:p>
      <w:r>
        <w:t>业务影响：报价前不能只按商品名套HS；需收技术规格、成分、用途、结构图、检测报告，必要时预留分类分析时间和费用。</w:t>
      </w:r>
    </w:p>
    <w:p>
      <w:r>
        <w:t>行动建议：今日把待申报票据按85号通函重新筛一遍：缺少技术资料的票先补齐，不急着承诺税率和时效。</w:t>
      </w:r>
    </w:p>
    <w:p>
      <w:r>
        <w:t>核验：已交叉验证</w:t>
      </w:r>
    </w:p>
    <w:p>
      <w:r>
        <w:t>2. 48/2026/TT-BCT细化外贸管理：禁限与配额需重筛</w:t>
      </w:r>
    </w:p>
    <w:p>
      <w:r>
        <w:t>二手消费品、粗钻和配额货需按新清单筛查。</w:t>
      </w:r>
    </w:p>
    <w:p>
      <w:r>
        <w:t>业务影响：接单前需先做HS清单筛查和许可证/配额确认；禁限风险票不能只按普货报价。</w:t>
      </w:r>
    </w:p>
    <w:p>
      <w:r>
        <w:t>行动建议：对近期二手货、粗钻及配额货询盘加一层禁止/配额/证书核验，报价列明前置审批条件。</w:t>
      </w:r>
    </w:p>
    <w:p>
      <w:r>
        <w:t>核验：已交叉验证</w:t>
      </w:r>
    </w:p>
    <w:p>
      <w:r>
        <w:t>3. 56号通函重设二手机械进口规则：超过10年不等于自动可进</w:t>
      </w:r>
    </w:p>
    <w:p>
      <w:r>
        <w:t>二手机械按年限、性能和能耗条件先审。</w:t>
      </w:r>
    </w:p>
    <w:p>
      <w:r>
        <w:t>业务影响：报价需预留检验、鉴定、专家评估和整改时间；旧设备不能直接按普通机器放行承诺。</w:t>
      </w:r>
    </w:p>
    <w:p>
      <w:r>
        <w:t>行动建议：销售收集年份、制造商、型号、用途、剩余性能、能耗、检测证书和生产必要性说明，再交关务判断。</w:t>
      </w:r>
    </w:p>
    <w:p>
      <w:r>
        <w:t>核验：已交叉验证</w:t>
      </w:r>
    </w:p>
    <w:p>
      <w:r>
        <w:t>4. 动物源食品通关提醒：检疫证书仍是放行前置条件</w:t>
      </w:r>
    </w:p>
    <w:p>
      <w:r>
        <w:t>动物源食品按检疫和食品安全证明清关。</w:t>
      </w:r>
    </w:p>
    <w:p>
      <w:r>
        <w:t>业务影响：缺检疫/食品安全资料时不能承诺快速清关；冷库、查验、滞港和改单费用要列条件项。</w:t>
      </w:r>
    </w:p>
    <w:p>
      <w:r>
        <w:t>行动建议：清关前收进口检疫证、食品安全文件、卫生证、标签和批次资料；异常票先向口岸海关确认。</w:t>
      </w:r>
    </w:p>
    <w:p>
      <w:r>
        <w:t>核验：未交叉验证-待核实</w:t>
      </w:r>
    </w:p>
    <w:p>
      <w:r>
        <w:t>5. 饲料质量登记不等于进口许可证：电商/分销客户需分开判断</w:t>
      </w:r>
    </w:p>
    <w:p>
      <w:r>
        <w:t>质量检查登记不能替代进口许可。</w:t>
      </w:r>
    </w:p>
    <w:p>
      <w:r>
        <w:t>业务影响：文件名相似不代表法律功能相同；报价和清关计划要拆分质量检查、许可、标签和税费。</w:t>
      </w:r>
    </w:p>
    <w:p>
      <w:r>
        <w:t>行动建议：客户询价时要求列明商品用途和监管属性；质量登记、许可证、检测结果三类文件分别核验。</w:t>
      </w:r>
    </w:p>
    <w:p>
      <w:r>
        <w:t>核验：未交叉验证-待核实</w:t>
      </w:r>
    </w:p>
    <w:p>
      <w:r>
        <w:t>6. 8月进口395.3亿美元：采购旺季报价需预留查验和舱位弹性</w:t>
      </w:r>
    </w:p>
    <w:p>
      <w:r>
        <w:t>前8月进口3953亿美元，同比增35.3%。</w:t>
      </w:r>
    </w:p>
    <w:p>
      <w:r>
        <w:t>业务影响：旺季报价需把查验等待、仓储、冷链、拖车排队和汇率波动作为条件项。</w:t>
      </w:r>
    </w:p>
    <w:p>
      <w:r>
        <w:t>行动建议：对高货值和监管类货物报价加上查验/仓储触发条件，提前锁定口岸操作窗口。</w:t>
      </w:r>
    </w:p>
    <w:p>
      <w:r>
        <w:t>核验：未交叉验证-待核实</w:t>
      </w:r>
    </w:p>
    <w:p>
      <w:r>
        <w:t>今日关联提醒</w:t>
      </w:r>
    </w:p>
    <w:p>
      <w:r>
        <w:t>重大关务法规详见 越南关务法规预警-2026-09-16.md；同一事项在商业简报仅保留行动影响，避免重复展开。</w:t>
      </w:r>
    </w:p>
    <w:p>
      <w:r>
        <w:t>Skygroup Logistics Viet Nam Company Limited</w:t>
      </w:r>
    </w:p>
    <w:sectPr>
      <w:pgSz w:w="11906" w:h="16838"/>
      <w:pgMar w:top="1440" w:right="1440" w:bottom="1440" w:left="1440"/>
    </w:sectPr>
  </w:body>
</w:document>
</file>