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越南商业政策每日简报</w:t>
      </w:r>
    </w:p>
    <w:p>
      <w:r>
        <w:t>2026年9月8日 | Skygroup Logistics Viet Nam</w:t>
        <w:br/>
        <w:t>2026年09月08日12:39（北京时间）</w:t>
      </w:r>
    </w:p>
    <w:p>
      <w:pPr>
        <w:pStyle w:val="Heading1"/>
      </w:pPr>
      <w:r>
        <w:t>核心结论</w:t>
      </w:r>
    </w:p>
    <w:p>
      <w:pPr>
        <w:pStyle w:val="ListBullet"/>
      </w:pPr>
      <w:r>
        <w:t>342号令签发及生效日期已补齐：10月18日生效，今天先核外资客户贸易及分销资格；过渡条款仍待逐条核定。</w:t>
      </w:r>
    </w:p>
    <w:p>
      <w:pPr>
        <w:pStyle w:val="ListBullet"/>
      </w:pPr>
      <w:r>
        <w:t>DNCX明日执行提醒和9月12日两用物项清单是本周操作重点；加拿大座椅客户需提前准备9月15日参与节点。</w:t>
      </w:r>
    </w:p>
    <w:p>
      <w:pPr>
        <w:pStyle w:val="ListBullet"/>
      </w:pPr>
      <w:r>
        <w:t>保留1起近一周税债执法案例；欠税915亿越盾不是罚款，累计稽查统计也不是新增个案。</w:t>
      </w:r>
    </w:p>
    <w:p>
      <w:r>
        <w:t>本简报供管理层、关务及销售团队安排客户沟通和申报准备。本期6条；当日不足5条经核验的高价值新发事项，回退至9月2日至9月8日官方发布或报道；原始签发或事件日期单列。42号通函按未来7天生效提醒，不冒充本周新签发。</w:t>
      </w:r>
    </w:p>
    <w:p>
      <w:pPr>
        <w:pStyle w:val="Heading1"/>
      </w:pPr>
      <w:r>
        <w:t>1 342号令10月18日生效 外资客户先核贸易与分销资格</w:t>
      </w:r>
    </w:p>
    <w:p>
      <w:r>
        <w:t>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r>
        <w:t>文号：342/2026/NĐ-CP</w:t>
      </w:r>
    </w:p>
    <w:p>
      <w:r>
        <w:t>发布机构：越南政府</w:t>
      </w:r>
    </w:p>
    <w:p>
      <w:r>
        <w:t>发布日期：2026年9月3日签发；政府解读9月5日</w:t>
      </w:r>
    </w:p>
    <w:p>
      <w:r>
        <w:t>生效日期：2026年10月18日</w:t>
      </w:r>
    </w:p>
    <w:p>
      <w:r>
        <w:t>状态：已签发</w:t>
      </w:r>
    </w:p>
    <w:p>
      <w:r>
        <w:t>事件概述：今日文书库补齐签发及生效日期，修正昨日待核验字段。接单资格与许可衔接详见当日法规预警，不能把报道日期当生效日期。</w:t>
      </w:r>
    </w:p>
    <w:p>
      <w:r>
        <w:t>关注原因：影响业务准入、申报流程或客户报价条件，须在接单前核定。</w:t>
      </w:r>
    </w:p>
    <w:p>
      <w:r>
        <w:t>影响主体：外资贸易、分销和相关服务企业</w:t>
      </w:r>
    </w:p>
    <w:p>
      <w:r>
        <w:t>业务影响：进口权不能替代零售或分销资格；不推断所有物流分行业均需新增许可。</w:t>
      </w:r>
    </w:p>
    <w:p>
      <w:r>
        <w:t>行动建议：销售索取登记和现有许可，关务按货物流向及国内销售场景分项核资格；10月18日前后订单分别标注适用依据。</w:t>
      </w:r>
    </w:p>
    <w:p>
      <w:r>
        <w:t>交叉验证状态：未交叉验证-待核实</w:t>
      </w:r>
    </w:p>
    <w:p>
      <w:r>
        <w:t>全部核验来源：https://vanban.chinhphu.vn/?classid=1&amp;docid=219372&amp;pageid=27160&amp;typegroupid=4</w:t>
        <w:br/>
        <w:t>https://baochinhphu.vn/dieu-kien-cap-giay-phep-kinh-doanh-cho-to-chuc-kinh-te-co-von-dau-tu-nuoc-ngoai-102260905112417488.htm</w:t>
        <w:br/>
        <w:t>https://datafiles.chinhphu.vn/cpp/files/vbpq/2026/9/342_2026_nd-cp_03092026-signed.signed.pdf</w:t>
      </w:r>
    </w:p>
    <w:p>
      <w:pPr>
        <w:pStyle w:val="Heading1"/>
      </w:pPr>
      <w:r>
        <w:t>2 无越南实体贸易商修法草案 拟下放发证并简化材料</w:t>
      </w:r>
    </w:p>
    <w:p>
      <w:r>
        <w:t>Bản tổng hợp, tiếp thu, giải trình ý kiến góp ý đối với dự thảo Nghị định sửa đổi, bổ sung một số điều của Nghị định số 90/2007/NĐ-CP của Chính phủ quy định về quyền xuất khẩu, quyền nhập khẩu của thương nhân nước ngoài không có hiện diện tại Việt Nam</w:t>
      </w:r>
    </w:p>
    <w:p>
      <w:r>
        <w:t>文号：90/2007/NĐ-CP（拟修订对象；新草案无最终文号）</w:t>
      </w:r>
    </w:p>
    <w:p>
      <w:r>
        <w:t>发布机构：越南工贸部进出口局</w:t>
      </w:r>
    </w:p>
    <w:p>
      <w:r>
        <w:t>发布日期：2026年9月7日公开征求意见汇总</w:t>
      </w:r>
    </w:p>
    <w:p>
      <w:r>
        <w:t>生效日期：未生效；最终文本和时间待核验</w:t>
      </w:r>
    </w:p>
    <w:p>
      <w:r>
        <w:t>状态：征求意见稿</w:t>
      </w:r>
    </w:p>
    <w:p>
      <w:r>
        <w:t>事件概述：工贸部公开41份意见的接收与说明汇总，调整方向包括向省级人民委员会下放权限、缩短办理时间、简化材料及数据共享。</w:t>
      </w:r>
    </w:p>
    <w:p>
      <w:r>
        <w:t>关注原因：影响业务准入、申报流程或客户报价条件，须在接单前核定。</w:t>
      </w:r>
    </w:p>
    <w:p>
      <w:r>
        <w:t>影响主体：在越南无商业存在的境外贸易商及其代理</w:t>
      </w:r>
    </w:p>
    <w:p>
      <w:r>
        <w:t>业务影响：草案不是已生效的免许可规则；该类贸易商与越南外资企业不是同一主体类型。</w:t>
      </w:r>
    </w:p>
    <w:p>
      <w:r>
        <w:t>行动建议：新增客户先确认是否在越南设立实体及实际进口主体，继续按现行许可要求收件；不把拟简化程序写成固定清关承诺。</w:t>
      </w:r>
    </w:p>
    <w:p>
      <w:r>
        <w:t>交叉验证状态：未交叉验证-待核实</w:t>
      </w:r>
    </w:p>
    <w:p>
      <w:r>
        <w:t>全部核验来源：https://moit.gov.vn/du-thao-van-ban/du-thao-nghi-dinh-sua-doi-bo-sung-mot-so-dieu-cua-nghi-dinh-so-90-2007-nd-cp-ngay-31-thang-5-nam-2007-cua-chinh-phu-quy-.html</w:t>
      </w:r>
    </w:p>
    <w:p>
      <w:pPr>
        <w:pStyle w:val="Heading1"/>
      </w:pPr>
      <w:r>
        <w:t>3 海防集中通关复核 单证处理与现场查验分工要更新</w:t>
      </w:r>
    </w:p>
    <w:p>
      <w:r>
        <w:t>Thông quan tập trung mở đường cho Hải quan thông minh</w:t>
      </w:r>
    </w:p>
    <w:p>
      <w:r>
        <w:t>文号：无新增公文号（试点运行报道）</w:t>
      </w:r>
    </w:p>
    <w:p>
      <w:r>
        <w:t>发布机构：越南政府电子报</w:t>
      </w:r>
    </w:p>
    <w:p>
      <w:r>
        <w:t>发布日期：2026年9月7日20:01（北京时间）</w:t>
      </w:r>
    </w:p>
    <w:p>
      <w:r>
        <w:t>生效日期：海防试点自2026年6月1日运行；非全国新增生效规定</w:t>
      </w:r>
    </w:p>
    <w:p>
      <w:r>
        <w:t>状态：媒体报道</w:t>
      </w:r>
    </w:p>
    <w:p>
      <w:r>
        <w:t>事件概述：官方报道复盘海防区域III试点：集中队处理单证，口岸单位承担实货检查及监管。9月7日为报道日期，不是试点启动日。</w:t>
      </w:r>
    </w:p>
    <w:p>
      <w:r>
        <w:t>关注原因：影响业务准入、申报流程或客户报价条件，须在接单前核定。</w:t>
      </w:r>
    </w:p>
    <w:p>
      <w:r>
        <w:t>影响主体：海防港进出口企业、报关及现场操作岗位</w:t>
      </w:r>
    </w:p>
    <w:p>
      <w:r>
        <w:t>业务影响：集中处理不代表免查验或取消监管；报道平均节时不能直接作为每票时效保证。</w:t>
      </w:r>
    </w:p>
    <w:p>
      <w:r>
        <w:t>行动建议：报关主管更新系统提交和退单联系人；现场操作保留口岸查验链路，报价分别列申报、查验配合、仓储等待的条件项。</w:t>
      </w:r>
    </w:p>
    <w:p>
      <w:r>
        <w:t>交叉验证状态：未交叉验证-待核实</w:t>
      </w:r>
    </w:p>
    <w:p>
      <w:r>
        <w:t>全部核验来源：https://baochinhphu.vn/thong-quan-tap-trung-mo-duong-cho-hai-quan-thong-minh-102260907191750628.htm</w:t>
      </w:r>
    </w:p>
    <w:p>
      <w:pPr>
        <w:pStyle w:val="Heading1"/>
      </w:pPr>
      <w:r>
        <w:t>4 Beyond Vietnam启动 电商出口先核目的国履约成本</w:t>
      </w:r>
    </w:p>
    <w:p>
      <w:r>
        <w:t>Cục Thương mại điện tử và Kinh tế số phối hợp TikTok Shop ra mắt sáng kiến “Beyond Vietnam - Hàng Việt cất cánh”</w:t>
      </w:r>
    </w:p>
    <w:p>
      <w:r>
        <w:t>文号：无单独公文号（项目启动报道）</w:t>
      </w:r>
    </w:p>
    <w:p>
      <w:r>
        <w:t>发布机构：越南工贸部电子商务和数字经济局</w:t>
      </w:r>
    </w:p>
    <w:p>
      <w:r>
        <w:t>发布日期：报道2026年9月5日13:40（北京时间）；活动9月3日</w:t>
      </w:r>
    </w:p>
    <w:p>
      <w:r>
        <w:t>生效日期：非规范性文件，无单列法定生效日</w:t>
      </w:r>
    </w:p>
    <w:p>
      <w:r>
        <w:t>状态：媒体报道</w:t>
      </w:r>
    </w:p>
    <w:p>
      <w:r>
        <w:t>事件概述：工贸部与TikTok Shop启动越南商品跨境电商项目，2026年目标包括培训约500家企业。目标并非已经完成的订单或收入。</w:t>
      </w:r>
    </w:p>
    <w:p>
      <w:r>
        <w:t>关注原因：影响客户准入、清关资料或可单独报价的费用条件。</w:t>
      </w:r>
    </w:p>
    <w:p>
      <w:r>
        <w:t>影响主体：计划跨境电商出口的越南品牌及制造企业</w:t>
      </w:r>
    </w:p>
    <w:p>
      <w:r>
        <w:t>业务影响：头程、目的国合规、平台服务、仓储与退货成本需分列；项目参与不等于取得进口许可或税收优惠。</w:t>
      </w:r>
    </w:p>
    <w:p>
      <w:r>
        <w:t>行动建议：销售先收目标国家、SKU、材质、品牌与包装信息；操作核标签及受限品规则，按渠道计算退货和海外仓费用。</w:t>
      </w:r>
    </w:p>
    <w:p>
      <w:r>
        <w:t>交叉验证状态：未交叉验证-待核实</w:t>
      </w:r>
    </w:p>
    <w:p>
      <w:r>
        <w:t>全部核验来源：https://moit.gov.vn/tin-tuc/cuc-thuong-mai-dien-tu-va-kinh-te-so-phoi-hop-tiktok-shop-ra-mat-sang-kien-beyond-vietnam-hang-viet-cat-canh-.html</w:t>
      </w:r>
    </w:p>
    <w:p>
      <w:pPr>
        <w:pStyle w:val="Heading1"/>
      </w:pPr>
      <w:r>
        <w:t>5 加拿大软垫座椅复审 9月15日参与节点须提前准备</w:t>
      </w:r>
    </w:p>
    <w:p>
      <w:r>
        <w:t>Ca-na-đa khởi xướng rà soát cuối kỳ biện pháp chống bán phá giá và chống trợ cấp đối với sản phẩm ghế bọc đệm nhập khẩu từ Trung Quốc và Việt Nam</w:t>
      </w:r>
    </w:p>
    <w:p>
      <w:r>
        <w:t>文号：RR-2026-006；UDS 2026 ER</w:t>
      </w:r>
    </w:p>
    <w:p>
      <w:r>
        <w:t>发布机构：越南工贸部贸易救济局（转述CITT及CBSA）</w:t>
      </w:r>
    </w:p>
    <w:p>
      <w:r>
        <w:t>发布日期：越南官方栏目9月4日发布；加拿大程序分别于8月31日、9月1日启动</w:t>
      </w:r>
    </w:p>
    <w:p>
      <w:r>
        <w:t>生效日期：复审程序已启动；不等于原有双反税已撤销</w:t>
      </w:r>
    </w:p>
    <w:p>
      <w:r>
        <w:t>状态：媒体报道</w:t>
      </w:r>
    </w:p>
    <w:p>
      <w:r>
        <w:t>事件概述：越南贸易救济局提示加拿大软垫家用座椅复审和9月15日参与节点。涉及出口应诉与目的港费用，不是越南进口税调整；详细动作见法规预警。</w:t>
      </w:r>
    </w:p>
    <w:p>
      <w:r>
        <w:t>关注原因：影响业务准入、申报流程或客户报价条件，须在接单前核定。</w:t>
      </w:r>
    </w:p>
    <w:p>
      <w:r>
        <w:t>影响主体：出口加拿大的越南家具生产商、出口商及加拿大进口商</w:t>
      </w:r>
    </w:p>
    <w:p>
      <w:r>
        <w:t>业务影响：到岸报价不能预先删除双反费用；需先匹配商品范围、出口商及加拿大进口商的税务安排。</w:t>
      </w:r>
    </w:p>
    <w:p>
      <w:r>
        <w:t>行动建议：今天通知家具客户和加拿大代理，索取材质、用途、型号、生产与出口数据，由贸易救济顾问确认参与及问卷路径。</w:t>
      </w:r>
    </w:p>
    <w:p>
      <w:r>
        <w:t>交叉验证状态：未交叉验证-待核实</w:t>
      </w:r>
    </w:p>
    <w:p>
      <w:r>
        <w:t>全部核验来源：https://pvtm.gov.vn/default.aspx?do=detail&amp;id=9def4d2f-7c70-4bdf-be04-e0ab3fc6237f&amp;page=news-detail</w:t>
      </w:r>
    </w:p>
    <w:p>
      <w:pPr>
        <w:pStyle w:val="Heading1"/>
      </w:pPr>
      <w:r>
        <w:t>6 电力设备制造支持10月20日实施 优惠不能直接冲减进口税</w:t>
      </w:r>
    </w:p>
    <w:p>
      <w:r>
        <w:t>Chính sách ưu đãi, hỗ trợ cho công nghiệp chế tạo phục vụ ngành điện lực</w:t>
      </w:r>
    </w:p>
    <w:p>
      <w:r>
        <w:t>文号：344/2026/NĐ-CP</w:t>
      </w:r>
    </w:p>
    <w:p>
      <w:r>
        <w:t>发布机构：越南政府</w:t>
      </w:r>
    </w:p>
    <w:p>
      <w:r>
        <w:t>发布日期：2026年9月4日签发；政府解读9月6日14:37（北京时间）</w:t>
      </w:r>
    </w:p>
    <w:p>
      <w:r>
        <w:t>生效日期：2026年10月20日</w:t>
      </w:r>
    </w:p>
    <w:p>
      <w:r>
        <w:t>状态：已签发</w:t>
      </w:r>
    </w:p>
    <w:p>
      <w:r>
        <w:t>事件概述：政府规定电力设备制造的投资、订购及试验支持，适用目录和项目条件须核定。它不构成所有进口电气设备自动享受免税的依据。</w:t>
      </w:r>
    </w:p>
    <w:p>
      <w:r>
        <w:t>关注原因：影响业务准入、申报流程或客户报价条件，须在接单前核定。</w:t>
      </w:r>
    </w:p>
    <w:p>
      <w:r>
        <w:t>影响主体：在越南生产电力设备的企业及设备、部件供应商</w:t>
      </w:r>
    </w:p>
    <w:p>
      <w:r>
        <w:t>业务影响：国内制造项目与成品进口贸易资格不同；补贴和优价资格未核定前不得冲抵客户应付税费。</w:t>
      </w:r>
    </w:p>
    <w:p>
      <w:r>
        <w:t>行动建议：商务先收设备清单、制造工序与投资项目资料；财务和关务分别核支持资格与实际进口税依据，检测认证费用单列。</w:t>
      </w:r>
    </w:p>
    <w:p>
      <w:r>
        <w:t>交叉验证状态：未交叉验证-待核实</w:t>
      </w:r>
    </w:p>
    <w:p>
      <w:r>
        <w:t>全部核验来源：https://baochinhphu.vn/chinh-sach-uu-dai-ho-tro-cho-cong-nghiep-che-tao-phuc-vu-nganh-dien-luc-102260906113149674.htm</w:t>
        <w:br/>
        <w:t>https://vanban.chinhphu.vn/?classid=1&amp;docid=219377&amp;pageid=27160&amp;typegroupid=4</w:t>
      </w:r>
    </w:p>
    <w:p>
      <w:pPr>
        <w:pStyle w:val="Heading1"/>
      </w:pPr>
      <w:r>
        <w:t>税费日期表</w:t>
      </w:r>
    </w:p>
    <w:tbl>
      <w:tblPr>
        <w:tblStyle w:val="TableGrid"/>
        <w:tblW w:type="auto" w:w="0"/>
        <w:tblLook w:firstColumn="1" w:firstRow="1" w:lastColumn="0" w:lastRow="0" w:noHBand="0" w:noVBand="1" w:val="04A0"/>
      </w:tblPr>
      <w:tblGrid>
        <w:gridCol w:w="4320"/>
        <w:gridCol w:w="4320"/>
      </w:tblGrid>
      <w:tr>
        <w:tc>
          <w:tcPr>
            <w:tcW w:type="dxa" w:w="4320"/>
            <w:tcBorders>
              <w:top w:val="single" w:sz="4" w:color="D9D9D9"/>
              <w:left w:val="single" w:sz="4" w:color="D9D9D9"/>
              <w:bottom w:val="single" w:sz="4" w:color="D9D9D9"/>
              <w:right w:val="single" w:sz="4" w:color="D9D9D9"/>
            </w:tcBorders>
            <w:shd w:fill="E9EDF1"/>
          </w:tcPr>
          <w:p>
            <w:r>
              <w:t>适用日期</w:t>
            </w:r>
          </w:p>
        </w:tc>
        <w:tc>
          <w:tcPr>
            <w:tcW w:type="dxa" w:w="4320"/>
            <w:tcBorders>
              <w:top w:val="single" w:sz="4" w:color="D9D9D9"/>
              <w:left w:val="single" w:sz="4" w:color="D9D9D9"/>
              <w:bottom w:val="single" w:sz="4" w:color="D9D9D9"/>
              <w:right w:val="single" w:sz="4" w:color="D9D9D9"/>
            </w:tcBorders>
            <w:shd w:fill="E9EDF1"/>
          </w:tcPr>
          <w:p>
            <w:r>
              <w:t>税费口径及依据</w:t>
            </w:r>
          </w:p>
        </w:tc>
      </w:tr>
      <w:tr>
        <w:tc>
          <w:tcPr>
            <w:tcW w:type="dxa" w:w="4320"/>
            <w:tcBorders>
              <w:top w:val="single" w:sz="4" w:color="D9D9D9"/>
              <w:left w:val="single" w:sz="4" w:color="D9D9D9"/>
              <w:bottom w:val="single" w:sz="4" w:color="D9D9D9"/>
              <w:right w:val="single" w:sz="4" w:color="D9D9D9"/>
            </w:tcBorders>
          </w:tcPr>
          <w:p>
            <w:r>
              <w:t>2026年9月8日核验</w:t>
            </w:r>
          </w:p>
        </w:tc>
        <w:tc>
          <w:tcPr>
            <w:tcW w:type="dxa" w:w="4320"/>
            <w:tcBorders>
              <w:top w:val="single" w:sz="4" w:color="D9D9D9"/>
              <w:left w:val="single" w:sz="4" w:color="D9D9D9"/>
              <w:bottom w:val="single" w:sz="4" w:color="D9D9D9"/>
              <w:right w:val="single" w:sz="4" w:color="D9D9D9"/>
            </w:tcBorders>
          </w:tcPr>
          <w:p>
            <w:r>
              <w:t>加拿大座椅双反措施不能因启动复审就从报价中删除；税率逐企业核定。</w:t>
              <w:br/>
              <w:t>https://pvtm.gov.vn/default.aspx?do=detail&amp;id=9def4d2f-7c70-4bdf-be04-e0ab3fc6237f&amp;page=news-detail</w:t>
            </w:r>
          </w:p>
        </w:tc>
      </w:tr>
      <w:tr>
        <w:tc>
          <w:tcPr>
            <w:tcW w:type="dxa" w:w="4320"/>
            <w:tcBorders>
              <w:top w:val="single" w:sz="4" w:color="D9D9D9"/>
              <w:left w:val="single" w:sz="4" w:color="D9D9D9"/>
              <w:bottom w:val="single" w:sz="4" w:color="D9D9D9"/>
              <w:right w:val="single" w:sz="4" w:color="D9D9D9"/>
            </w:tcBorders>
          </w:tcPr>
          <w:p>
            <w:r>
              <w:t>2026年10月20日起</w:t>
            </w:r>
          </w:p>
        </w:tc>
        <w:tc>
          <w:tcPr>
            <w:tcW w:type="dxa" w:w="4320"/>
            <w:tcBorders>
              <w:top w:val="single" w:sz="4" w:color="D9D9D9"/>
              <w:left w:val="single" w:sz="4" w:color="D9D9D9"/>
              <w:bottom w:val="single" w:sz="4" w:color="D9D9D9"/>
              <w:right w:val="single" w:sz="4" w:color="D9D9D9"/>
            </w:tcBorders>
          </w:tcPr>
          <w:p>
            <w:r>
              <w:t>344号令支持资格另审，不等于所有电气设备进口免税。</w:t>
              <w:br/>
              <w:t>https://baochinhphu.vn/chinh-sach-uu-dai-ho-tro-cho-cong-nghiep-che-tao-phuc-vu-nganh-dien-luc-102260906113149674.htm</w:t>
            </w:r>
          </w:p>
        </w:tc>
      </w:tr>
    </w:tbl>
    <w:p>
      <w:pPr>
        <w:pStyle w:val="Heading1"/>
      </w:pPr>
      <w:r>
        <w:t>今日行动建议</w:t>
      </w:r>
    </w:p>
    <w:p>
      <w:pPr>
        <w:pStyle w:val="ListBullet"/>
      </w:pPr>
      <w:r>
        <w:t>今日核DNCX内部编号、对应出口报关单和软件回执，原件及上线状态向主管海关确认。</w:t>
      </w:r>
    </w:p>
    <w:p>
      <w:pPr>
        <w:pStyle w:val="ListBullet"/>
      </w:pPr>
      <w:r>
        <w:t>9月11日前补齐敏感工业品技术规格、最终用途及用户资料，核42号通函适用。</w:t>
      </w:r>
    </w:p>
    <w:p>
      <w:pPr>
        <w:pStyle w:val="ListBullet"/>
      </w:pPr>
      <w:r>
        <w:t>对外资客户区分进口、批发、零售与物流活动；对加拿大座椅客户联系代理和贸易救济顾问。</w:t>
      </w:r>
    </w:p>
    <w:p>
      <w:pPr>
        <w:pStyle w:val="ListBullet"/>
      </w:pPr>
      <w:r>
        <w:t>税金优先由客户自缴；接单前核欠税及强制状态，报价注明客户税债引起的仓储与延误成本。</w:t>
      </w:r>
    </w:p>
    <w:p>
      <w:pPr>
        <w:pStyle w:val="Heading1"/>
      </w:pPr>
      <w:r>
        <w:t>未来7天观察事项</w:t>
      </w:r>
    </w:p>
    <w:p>
      <w:pPr>
        <w:pStyle w:val="ListBullet"/>
      </w:pPr>
      <w:r>
        <w:t>9月9日DNCX系统上线及异常回执；未获确认不得视为自动放行。</w:t>
      </w:r>
    </w:p>
    <w:p>
      <w:pPr>
        <w:pStyle w:val="ListBullet"/>
      </w:pPr>
      <w:r>
        <w:t>9月12日42号通函实施及具体产品技术阈值。</w:t>
      </w:r>
    </w:p>
    <w:p>
      <w:pPr>
        <w:pStyle w:val="ListBullet"/>
      </w:pPr>
      <w:r>
        <w:t>9月15日加拿大座椅复审参与节点，截止时分及北京时间须由加拿大代理确认。</w:t>
      </w:r>
    </w:p>
    <w:p>
      <w:pPr>
        <w:pStyle w:val="ListBullet"/>
      </w:pPr>
      <w:r>
        <w:t>342号令过渡条款、344号令目录及项目资格、90号令修订草案最终文本。</w:t>
      </w:r>
    </w:p>
    <w:p>
      <w:pPr>
        <w:pStyle w:val="Heading1"/>
      </w:pPr>
      <w:r>
        <w:t>今日关联提醒</w:t>
      </w:r>
    </w:p>
    <w:p>
      <w:r>
        <w:t>重大事项详见越南关务法规预警-2026-09-08.md；2130/QĐ-BCT液态乳暂缓、2144/QĐ-BCT山梨醇及128/TB-PVTM豁免通知沿用前期结论，无新增变化不重复展开。</w:t>
      </w:r>
    </w:p>
    <w:p>
      <w:r>
        <w:t>已尝试32个来源入口，其中24个HTTP200；未达到30个来源逐篇全文核验。框架页和入口成功不等于内容已审阅，正文仅采用列明的已核文章及文书元数据。</w:t>
      </w:r>
    </w:p>
    <w:p>
      <w:r>
        <w:t>Skygroup Logistics Viet Nam Company Limited</w:t>
        <w:br/>
        <w:t>3rd Floor, 8-10-12 Ba Trieu Street, Cho Lon Ward, Ho Chi Minh City</w:t>
        <w:br/>
        <w:t>vietnam@goskygroup.vn | 电话/Zalo +84-0832756118</w:t>
        <w:br/>
        <w:t>Copyright 2026 Skygroup. Developed by Marcos. 关注微信公众号：跨境杂记</w:t>
      </w:r>
    </w:p>
    <w:sectPr w:rsidR="00FC693F" w:rsidRPr="0006063C" w:rsidSect="00034616">
      <w:pgSz w:w="12240" w:h="15840"/>
      <w:pgMar w:top="1020" w:right="1800" w:bottom="10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Microsoft YaHei" w:hAnsi="Microsoft YaHei" w:eastAsia="Microsoft YaHei"/>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Microsoft YaHei" w:hAnsi="Microsoft YaHei" w:eastAsia="Microsoft YaHei"/>
      <w:color w:val="00000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