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越南商业政策每日简报 - 2026-09-04</w:t>
      </w:r>
    </w:p>
    <w:p>
      <w:r>
        <w:t xml:space="preserve">生成时间：2026年9月4日10:16（北京时间）</w:t>
      </w:r>
    </w:p>
    <w:p>
      <w:r>
        <w:t xml:space="preserve">核心结论</w:t>
      </w:r>
    </w:p>
    <w:p>
      <w:r>
        <w:t xml:space="preserve">今日最需要动作的是128/2026/TT-BTC智能口岸规则：10月15日生效，应提前把中越口岸无人运输、监管区、换箱和30日滞留规则写进报价。</w:t>
      </w:r>
    </w:p>
    <w:p>
      <w:r>
        <w:t xml:space="preserve">127/2026/TT-BTC会统一运输工具申报数据，车船机跨境资料应按新字段提前收集。</w:t>
      </w:r>
    </w:p>
    <w:p>
      <w:r>
        <w:t xml:space="preserve">区域II税债强制案例提示：进口商税债状态会影响放行、停办手续和负责人出境风险，接单前必须筛查。</w:t>
      </w:r>
    </w:p>
    <w:p>
      <w:r>
        <w:t xml:space="preserve">重点事项</w:t>
      </w:r>
    </w:p>
    <w:p>
      <w:r>
        <w:t xml:space="preserve">1. 智能口岸海关监管规则10月15日生效</w:t>
      </w:r>
    </w:p>
    <w:p>
      <w:r>
        <w:t xml:space="preserve">文号：128/2026/TT-BTC；机构：越南财政部；生效：2026年10月15日（北京时间）</w:t>
      </w:r>
    </w:p>
    <w:p>
      <w:r>
        <w:t xml:space="preserve">业务影响：报价需拆分智能口岸监管区入区、自动吊箱、查验、30日滞留、换箱/拼拆箱和无人运输监管风险。</w:t>
      </w:r>
    </w:p>
    <w:p>
      <w:r>
        <w:t xml:space="preserve">行动建议：建立中越智能口岸客户问卷：口岸、箱型、是否过境、是否需无人运输、货物停留天数和是否可提前传输货物数据。</w:t>
      </w:r>
    </w:p>
    <w:p>
      <w:r>
        <w:t xml:space="preserve">2. 运输工具出入境申报字段统一</w:t>
      </w:r>
    </w:p>
    <w:p>
      <w:r>
        <w:t xml:space="preserve">文号：127/2026/TT-BTC；机构：越南财政部；生效：2026年10月15日（北京时间）</w:t>
      </w:r>
    </w:p>
    <w:p>
      <w:r>
        <w:t xml:space="preserve">业务影响：报价和接单应把车辆许可、驾驶员证件、预计再出口口岸、危险货、主/分运单和旅客/船员资料列入资料时效。</w:t>
      </w:r>
    </w:p>
    <w:p>
      <w:r>
        <w:t xml:space="preserve">行动建议：9月内更新运输工具资料清单，系统未就绪客户保留纸质备份模板并确认最多1年过渡窗口。</w:t>
      </w:r>
    </w:p>
    <w:p>
      <w:r>
        <w:t xml:space="preserve">3. 财政部数据字典纳入海关核心数据</w:t>
      </w:r>
    </w:p>
    <w:p>
      <w:r>
        <w:t xml:space="preserve">文号：2429/QĐ-BTC；机构：越南财政部；生效：2026年8月28日（北京时间）</w:t>
      </w:r>
    </w:p>
    <w:p>
      <w:r>
        <w:t xml:space="preserve">业务影响：客户主数据若税号、地址、法人、许可信息不一致，后续可能影响单一窗口、风险画像和后续稽查。</w:t>
      </w:r>
    </w:p>
    <w:p>
      <w:r>
        <w:t xml:space="preserve">行动建议：把客户主数据清洗加入9月合规动作：税号、ERC/IRC、地址、联系人、合同主体和报关主体统一。</w:t>
      </w:r>
    </w:p>
    <w:p>
      <w:r>
        <w:t xml:space="preserve">4. 海关区域II强制追缴多家企业大额税债</w:t>
      </w:r>
    </w:p>
    <w:p>
      <w:r>
        <w:t xml:space="preserve">文号：税债强制通知；41/QĐ-KCXTT/AĐT；机构：Chi cục Hải quan khu vực II；生效：各通知日起30日后适用临时出境限制等措施</w:t>
      </w:r>
    </w:p>
    <w:p>
      <w:r>
        <w:t xml:space="preserve">业务影响：客户欠税可能导致停止进出口手续、延迟放行、负责人出境限制，物流方案需先查税务/海关状态。</w:t>
      </w:r>
    </w:p>
    <w:p>
      <w:r>
        <w:t xml:space="preserve">行动建议：接单前新增“海关税债/强制状态”筛查；对高税额客户要求税款自缴证明，不建议Skygroup垫付。</w:t>
      </w:r>
    </w:p>
    <w:p>
      <w:r>
        <w:t xml:space="preserve">5. DNCX监管区9月9日起自动确认</w:t>
      </w:r>
    </w:p>
    <w:p>
      <w:r>
        <w:t xml:space="preserve">文号：20991/CHQ-GSQL；121/2025/TT-BTC；机构：越南海关总局；生效：2026年9月9日（北京时间）</w:t>
      </w:r>
    </w:p>
    <w:p>
      <w:r>
        <w:t xml:space="preserve">业务影响：报价和接单须把#&amp;XKPTQ、#&amp;NKPTQ、#&amp;XKTC、#&amp;NKTC及对应出口申报前11位列为必填校验。</w:t>
      </w:r>
    </w:p>
    <w:p>
      <w:r>
        <w:t xml:space="preserve">行动建议：9月8日前更新DNCX单证检查表，由报关负责人复核内部管理编号和对应出口申报号。</w:t>
      </w:r>
    </w:p>
    <w:p>
      <w:r>
        <w:t xml:space="preserve">6. 现场进出口租借货按G12/G22衔接</w:t>
      </w:r>
    </w:p>
    <w:p>
      <w:r>
        <w:t xml:space="preserve">文号：21078/CHQ-GSQL；292/2026/NĐ-CP；机构：越南海关总局；生效：随公文执行；292/2026/NĐ-CP于2026年9月5日生效</w:t>
      </w:r>
    </w:p>
    <w:p>
      <w:r>
        <w:t xml:space="preserve">业务影响：需核对外商合同、越南交付指令、G12/G22/A11/A12类型、专管许可证和是否产生进口税/VAT。</w:t>
      </w:r>
    </w:p>
    <w:p>
      <w:r>
        <w:t xml:space="preserve">行动建议：接此类询价时先收外商合同、交付指令、设备用途、暂进口期限和旧设备资料，再报价。</w:t>
      </w:r>
    </w:p>
    <w:p>
      <w:r>
        <w:t xml:space="preserve">7. 单一窗口和海关数据标准继续推进</w:t>
      </w:r>
    </w:p>
    <w:p>
      <w:r>
        <w:t xml:space="preserve">文号：336/2026/NĐ-CP；2429/QĐ-BTC；机构：越南政府/财政部；生效：2026年10月15日（北京时间）</w:t>
      </w:r>
    </w:p>
    <w:p>
      <w:r>
        <w:t xml:space="preserve">业务影响：客户资料不一致会造成单一窗口退单、专检反馈延迟和后续税务/海关稽核风险。</w:t>
      </w:r>
    </w:p>
    <w:p>
      <w:r>
        <w:t xml:space="preserve">行动建议：客户开户时建立主数据表，统一税号、地址、法定代表人、合同主体、发票主体和报关主体。</w:t>
      </w:r>
    </w:p>
    <w:p>
      <w:r>
        <w:t xml:space="preserve">8. 外贸管理新规9月5日正式生效</w:t>
      </w:r>
    </w:p>
    <w:p>
      <w:r>
        <w:t xml:space="preserve">文号：292/2026/NĐ-CP；机构：越南政府；生效：2026年9月5日（北京时间）</w:t>
      </w:r>
    </w:p>
    <w:p>
      <w:r>
        <w:t xml:space="preserve">业务影响：进口前必须按HS、用途、品牌、状态、原产地和主管部门清单复核是否需许可证或专检。</w:t>
      </w:r>
    </w:p>
    <w:p>
      <w:r>
        <w:t xml:space="preserve">行动建议：9月5日起所有条件货物报价须附“292/2026/NĐ-CP筛查结论”，未筛查不出正式税费方案。</w:t>
      </w:r>
    </w:p>
    <w:p>
      <w:r>
        <w:t xml:space="preserve">9. VIS 2026带动供应链对接与出口询盘</w:t>
      </w:r>
    </w:p>
    <w:p>
      <w:r>
        <w:t xml:space="preserve">文号：1049/QĐ-BCT；机构：越南工贸部；生效：2026年9月3日至5日活动执行</w:t>
      </w:r>
    </w:p>
    <w:p>
      <w:r>
        <w:t xml:space="preserve">业务影响：样品、展品和小批量订单需提前确认是否商检、原产地证、临时进口再出口或一般贸易申报。</w:t>
      </w:r>
    </w:p>
    <w:p>
      <w:r>
        <w:t xml:space="preserve">行动建议：为参展客户准备“样品/展品清关清单”，区分非商业样品、销售样品和后续批量订单报价。</w:t>
      </w:r>
    </w:p>
    <w:p>
      <w:r>
        <w:t xml:space="preserve">10. 制造业通关继续暴露HS与估价风险</w:t>
      </w:r>
    </w:p>
    <w:p>
      <w:r>
        <w:t xml:space="preserve">文号：地方海关税收/风控数据；机构：海关区域/财政部系媒体；生效：持续执行</w:t>
      </w:r>
    </w:p>
    <w:p>
      <w:r>
        <w:t xml:space="preserve">业务影响：同类客户报价应增加HS预审、成交价证明、C/O链路和税号状态检查，不按最低价直接报清关费。</w:t>
      </w:r>
    </w:p>
    <w:p>
      <w:r>
        <w:t xml:space="preserve">行动建议：对高频制造客户建立3项复核：HS技术资料、交易付款链、历史黄红通道/补税记录。</w:t>
      </w:r>
    </w:p>
    <w:p>
      <w:r>
        <w:t xml:space="preserve">今日行动建议</w:t>
      </w:r>
    </w:p>
    <w:p>
      <w:r>
        <w:t xml:space="preserve">今天更新中越陆运和口岸报价问卷，新增智能口岸、无人运输、30日滞留、监管区查验和换箱字段。</w:t>
      </w:r>
    </w:p>
    <w:p>
      <w:r>
        <w:t xml:space="preserve">对DNCX客户在9月8日前复核20991/CHQ-GSQL内部管理编号规则。</w:t>
      </w:r>
    </w:p>
    <w:p>
      <w:r>
        <w:t xml:space="preserve">对所有9月5日以后出运的条件货物，附292/2026/NĐ-CP筛查结论。</w:t>
      </w:r>
    </w:p>
    <w:p>
      <w:r>
        <w:t xml:space="preserve">对新客户和高税额客户增加海关税债/强制状态查询，不建议垫付税费。</w:t>
      </w:r>
    </w:p>
    <w:p>
      <w:r>
        <w:t xml:space="preserve">未来7天观察事项</w:t>
      </w:r>
    </w:p>
    <w:p>
      <w:r>
        <w:t xml:space="preserve">9月5日：292/2026/NĐ-CP正式生效后的主管部门货物清单和许可证口径。</w:t>
      </w:r>
    </w:p>
    <w:p>
      <w:r>
        <w:t xml:space="preserve">9月9日：DNCX监管区自动确认功能是否按20991/CHQ-GSQL全国上线。</w:t>
      </w:r>
    </w:p>
    <w:p>
      <w:r>
        <w:t xml:space="preserve">继续查找customs.gov.vn对20991/CHQ-GSQL、21078/CHQ-GSQL、20893/CHQ-NVTHQ的直接原文。</w:t>
      </w:r>
    </w:p>
    <w:p>
      <w:r>
        <w:t xml:space="preserve">跟踪128/2026/TT-BTC智能口岸适用的具体中越口岸和地方实施公告。</w:t>
      </w:r>
    </w:p>
    <w:p>
      <w:r>
        <w:t xml:space="preserve">今日关联提醒</w:t>
      </w:r>
    </w:p>
    <w:p>
      <w:r>
        <w:t xml:space="preserve">今日商业政策简报对重大关务变化仅写业务动作，详细预警见《越南关务法规预警-2026-09-04.md》。</w:t>
      </w:r>
    </w:p>
    <w:sectPr>
      <w:pgSz w:w="11906" w:h="16838"/>
      <w:pgMar w:top="1440" w:right="1440" w:bottom="1440" w:left="1440"/>
    </w:sectPr>
  </w:body>
</w:document>
</file>