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- 2026-09-02</w:t>
      </w:r>
    </w:p>
    <w:p>
      <w:r>
        <w:t>核心结论：现场进出口、进口食品安检、外贸管理政令、HS归类和口岸处罚是今日重点。</w:t>
      </w:r>
    </w:p>
    <w:p>
      <w:r>
        <w:t>1. 现场进出口租借货按21078公文执行（21078/CHQ-GSQL；A11/A12/G12/G22）</w:t>
      </w:r>
    </w:p>
    <w:p>
      <w:r>
        <w:t>租借货现场交付须按类型开出口和进口在地报关。 接到现场交付询价时先索取外商合同、交付指令、设备清单、用途证明；报价备注A11/A12/G12/G22适用待海关确认。</w:t>
      </w:r>
    </w:p>
    <w:p>
      <w:r>
        <w:t>2. Lạng Sơn进口食品安检9月1日切换（8031/VP-KTCN；22/2026/TT-BNNMT）</w:t>
      </w:r>
    </w:p>
    <w:p>
      <w:r>
        <w:t>进口食品安检由地方承接，口岸首周要预留时效。 食品/果蔬货物清关前补齐产地、检验检疫、批次、生产商、进口商授权和越南标签草案。</w:t>
      </w:r>
    </w:p>
    <w:p>
      <w:r>
        <w:t>3. 外贸管理政令9月5日生效（292/2026/NĐ-CP）</w:t>
      </w:r>
    </w:p>
    <w:p>
      <w:r>
        <w:t>外贸管理政令9月5日生效，禁限货和许可证需复核。 建立292/2026高风险货类问卷；9月5日前对存量订单做禁限货和许可证复核。</w:t>
      </w:r>
    </w:p>
    <w:p>
      <w:r>
        <w:t>4. 国家单一窗口政令进入系统准备期（336/2026/NĐ-CP）</w:t>
      </w:r>
    </w:p>
    <w:p>
      <w:r>
        <w:t>单一窗口新政10月15日生效，需提前改资料清单。 9月内梳理单一窗口字段清单，报价模板增加许可证/专检/过境数据项。</w:t>
      </w:r>
    </w:p>
    <w:p>
      <w:r>
        <w:t>5. 海关法配套文件密集征求意见（11/2026/QH16）</w:t>
      </w:r>
    </w:p>
    <w:p>
      <w:r>
        <w:t>海关法3月1日实施，配套草案正影响口岸SOP。 跟进各地征求意见稿，整理客户最常见痛点：数据、仓储、过境、查验和后续稽查。</w:t>
      </w:r>
    </w:p>
    <w:p>
      <w:r>
        <w:t>6. HS最终确定权仍归海关（未披露公文号；引述海关答复）</w:t>
      </w:r>
    </w:p>
    <w:p>
      <w:r>
        <w:t>医疗、药品和保健品HS争议要按海关口径落税。 对医疗/药品/保健品询价强制收集技术说明、成分、用途、图片、监管目录和历史进口记录。</w:t>
      </w:r>
    </w:p>
    <w:p>
      <w:r>
        <w:t>7. 食品数据草案强调一次填报多次使用（拟替代11/2026/TT-BCT的草案）</w:t>
      </w:r>
    </w:p>
    <w:p>
      <w:r>
        <w:t>食品数据草案可能减少重复申报，也会提高数据质量要求。 食品类客户建立主数据表：生产商、出口商、进口商、批号、检测结果、HS、标签和原产地。</w:t>
      </w:r>
    </w:p>
    <w:p>
      <w:r>
        <w:t>8. VIS 2026明日开幕，出口对接进入窗口期（1049/QĐ-BCT）</w:t>
      </w:r>
    </w:p>
    <w:p>
      <w:r>
        <w:t>VIS 9月3日至5日举行，样品和展品需提前合规。 为参展客户准备样品/小货快速报价模板，列明商业发票、用途说明、非销售样品声明和目的地要求。</w:t>
      </w:r>
    </w:p>
    <w:p>
      <w:r>
        <w:t>9. Hòn Gai汽车零件退税和反走私同步加强（26/2023/NĐ-CP；199/2025/NĐ-CP；处罚统计）</w:t>
      </w:r>
    </w:p>
    <w:p>
      <w:r>
        <w:t>Hòn Gai服务680家企业，8个月13起违法被处理。 汽车零部件客户接单前核进口用途、生产/装配证明、完税/退税路径和合同发票一致性。</w:t>
      </w:r>
    </w:p>
    <w:p>
      <w:r>
        <w:t>10. Thủ Dầu Một提高HS、C/O、估价和免税货复核（590/TDM；口岸统计至2026年8月22日）</w:t>
      </w:r>
    </w:p>
    <w:p>
      <w:r>
        <w:t>Thủ Dầu Một转红45票，制造客户HS和估价需复核。 对区域II客户建立HS历史表、C/O原始证据、付款价格链和免税设备用途台账。</w:t>
      </w:r>
    </w:p>
    <w:sectPr/>
  </w:body>
</w:document>
</file>