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- 2026-09-01</w:t>
      </w:r>
    </w:p>
    <w:p>
      <w:r>
        <w:t>核心结论：9月1日新增Hữu Nghị口岸15公斤烟花爆竹夹藏查获案例；本期以最近一周仍可执行事项为主。</w:t>
      </w:r>
    </w:p>
    <w:p>
      <w:r>
        <w:t>覆盖窗口：2026年8月26日至2026年9月1日</w:t>
      </w:r>
    </w:p>
    <w:p>
      <w:r>
        <w:t>1. 单一窗口新政进入执行准备期（336/2026/NĐ-CP）：单一窗口新政10月15日生效，需提前改资料清单。 Skygroup动作：9月内建立单一窗口资料字段清单，报价模板增加许可证/专检/过境数据项。</w:t>
      </w:r>
    </w:p>
    <w:p>
      <w:r>
        <w:t>2. 海关法配套文件已提前准备（11/2026/QH16）：海关正准备配套文件，3月1日前需完成SOP映射。 Skygroup动作：建立海关法修正案条款-岗位-SOP映射表，等待实施细则后更新客户话术。</w:t>
      </w:r>
    </w:p>
    <w:p>
      <w:r>
        <w:t>3. 无人机进出口监管继续升温（20924/CHQ-GSQL；8252/VPCP-CN）：无人机按敏感货预审，需核型号、用途和许可。 Skygroup动作：把无人机/飞控/航拍设备列入敏感货预审，报价单列查验、许可和改单风险。</w:t>
      </w:r>
    </w:p>
    <w:p>
      <w:r>
        <w:t>4. HS归类和估价将走向全国统一（20893/CHQ-NVTHQ）：海关回应BritCham，拟统一HS归类和估价口径。 Skygroup动作：对高争议品类建立HS/估价资料包，保存技术参数、报价单、付款和同类进口记录。</w:t>
      </w:r>
    </w:p>
    <w:p>
      <w:r>
        <w:t>5. 进口口岸办理清单继续执行（31/2026/QĐ-TTg）：12类进口货需按清单判断是否必须口岸申报。 Skygroup动作：报价前按HS、品名和用途核对清单，敏感货不得默认可转内陆海关申报。</w:t>
      </w:r>
    </w:p>
    <w:p>
      <w:r>
        <w:t>6. 跨境电商数据责任进入海关法框架（11/2026/QH16）：跨境电商平台和快递主体将承担数据连接责任。 Skygroup动作：电商客户报价前要求订单、支付、平台店铺、品名和物流轨迹一致性材料。</w:t>
      </w:r>
    </w:p>
    <w:p>
      <w:r>
        <w:t>7. 网络安全产品进出口按许可管理（332/2026/NĐ-CP）：网络安全产品进出口须核许可证和HS附录范围。 Skygroup动作：IT设备询价增加网络安全功能筛查，要求型号、功能说明、用途和许可判断。</w:t>
      </w:r>
    </w:p>
    <w:p>
      <w:r>
        <w:t>8. Đà Lạt农产品出口8月大幅增长（统计期15/7-12/8/2026）：Đà Lạt农产品出口期内增91%，单证和检疫需求上升。 Skygroup动作：农产品客户报价增加检疫、C/O和冷链时效检查，提醒客户提前准备证书。</w:t>
      </w:r>
    </w:p>
    <w:p>
      <w:r>
        <w:t>9. Vân Phong进口燃料推高税收（统计至2026年8月15日）：Vân Phong税收超预算，燃料和项目货进口活跃。 Skygroup动作：南中部项目货报价加入税款现金流、口岸监管和查验等待时间提示。</w:t>
      </w:r>
    </w:p>
    <w:p>
      <w:r>
        <w:t>10. 国际采购周9月3日开幕（1049/QĐ-BCT）：VIS 2026将开幕，出口客户可对接国际采购商。 Skygroup动作：对VIS相关客户准备样品/展品清关路径，报价区分暂进再出、税费和返运安排。</w:t>
      </w:r>
    </w:p>
    <w:sectPr/>
  </w:body>
</w:document>
</file>