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>越南商业政策每日简报 - 2026-08-29</w:t>
      </w:r>
    </w:p>
    <w:p>
      <w:r>
        <w:t>核心结论：今日周六官方新增有限，复核后纳入最近7天仍有执行价值的海关法、口岸办理、C/O、DNCX和A41事项。</w:t>
      </w:r>
    </w:p>
    <w:p>
      <w:r>
        <w:t>1. 海关法修正案已入库，2027年3月生效｜11/2026/QH16｜越南国会｜海关法修正案已发布，需提前评估流程和系统影响。 建议：建立海关法修正案条款跟踪表，等实施细则发布后映射到SOP和报价备注。</w:t>
      </w:r>
    </w:p>
    <w:p>
      <w:r>
        <w:t>2. 进口口岸办理清单已生效｜31/2026/QĐ-TTg｜越南总理｜部分进口货须在进口口岸办海关手续。 建议：将31/2026/QĐ-TTg加入询价前置检查，报价注明指定口岸清关限制。</w:t>
      </w:r>
    </w:p>
    <w:p>
      <w:r>
        <w:t>3. 单一窗口新规10月15日生效｜336/2026/NĐ-CP｜越南政府｜单一窗口新规覆盖进出口、过境和运输工具手续。 建议：提前建立客户单一窗口资料包，测试许可证/专检/过境和运输工具申报链路。</w:t>
      </w:r>
    </w:p>
    <w:p>
      <w:r>
        <w:t>4. DNCX报关单9月9日起自动确认｜20991/CHQ-GSQL｜越南海关总局｜DNCX内部管理号字段将影响自动确认。 建议：9月9日前更新DNCX模板，强制校验#&amp;XKPTQ/#&amp;NKPTQ等字段。</w:t>
      </w:r>
    </w:p>
    <w:p>
      <w:r>
        <w:t>5. DNCX内购建材等可选择不办海关手续｜20985/CHQ-GSQL｜越南海关总局｜DNCX内购物料要先判断用途是否免手续。 建议：询价表新增“DNCX内购用途”字段，不确定时先向主管海关确认。</w:t>
      </w:r>
    </w:p>
    <w:p>
      <w:r>
        <w:t>6. FDI企业A41进口地点需按授权确认｜20857/CHQ-GSQL｜越南海关总局｜A41进口需确认注册地、口岸和主管海关。 建议：A41客户接单前增加主管海关确认步骤，疑难票保留书面咨询证据。</w:t>
      </w:r>
    </w:p>
    <w:p>
      <w:r>
        <w:t>7. 跨境电商需同时关注海关法与C/O风控｜11/2026/QH16；124/2026/TT-BTC｜越南国会/财政部｜电商小包和低值货仍需保留真实交易链。 建议：建立电商进口资料清单，敏感品类先做HS和原产地预审。</w:t>
      </w:r>
    </w:p>
    <w:p>
      <w:r>
        <w:t>8. 截至8月15日进出口达7127.2亿美元｜海关统计快报（来源页未披露编号）｜越南海关/财政部系媒体｜进口高位延续，电子和机械类仍是主力。 建议：对9月出货客户提前锁舱，报价中列明查验、仓储和改单触发条件。</w:t>
      </w:r>
    </w:p>
    <w:p>
      <w:r>
        <w:t>9. 制造业补库与合规要求同步上升｜分析汇总（无单一文号）｜财政部/海关统计及投资主管部门公开信息｜制造业进口需求高，单证和估价风控同步上升。 建议：对电子、机械、纺织、食品和化学品客户实行询价前HS/用途/原产地三项预审。</w:t>
      </w:r>
    </w:p>
    <w:p>
      <w:r>
        <w:t>今日行动建议：更新合规跟踪表；完善DNCX字段模板；对A41、DNCX内购、C/O享惠客户做询价前预审。</w:t>
      </w:r>
    </w:p>
    <w:p>
      <w:r>
        <w:t>未来7天观察事项：海关法配套细则、DNCX自动确认补充说明、低报/错报/原产地处罚案例。</w:t>
      </w:r>
    </w:p>
    <w:sectPr/>
  </w:body>
</w:document>
</file>