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越南商业政策每日简报 - 2026-08-28</w:t>
      </w:r>
    </w:p>
    <w:p>
      <w:r>
        <w:t xml:space="preserve">生成时间：2026年8月28日 09:15（北京时间）</w:t>
      </w:r>
    </w:p>
    <w:p>
      <w:r>
        <w:t xml:space="preserve">核心结论：本期9条，覆盖窗口2026年8月22日至2026年8月28日。2026年8月28日同日可直接打开并交叉验证的越南官方高价值政策不足5条，纳入最近7天仍具执行价值的官方、政府公报和海关/财政部系来源事项。</w:t>
      </w:r>
    </w:p>
    <w:p>
      <w:r>
        <w:t xml:space="preserve">#1 单一窗口新规10月15日生效</w:t>
      </w:r>
    </w:p>
    <w:p>
      <w:r>
        <w:t xml:space="preserve">越南语原题：Nghị định 336/2026/NĐ-CP về cơ chế một cửa quốc gia, một cửa ASEAN</w:t>
      </w:r>
    </w:p>
    <w:p>
      <w:r>
        <w:t xml:space="preserve">文号/机构/状态：336/2026/NĐ-CP；越南政府；已签发</w:t>
      </w:r>
    </w:p>
    <w:p>
      <w:r>
        <w:t xml:space="preserve">发布日期/生效日期：2026年8月22日（北京时间）；2026年10月15日（北京时间）</w:t>
      </w:r>
    </w:p>
    <w:p>
      <w:r>
        <w:t xml:space="preserve">摘要：单一窗口新规覆盖进出口、过境和运输工具手续。</w:t>
      </w:r>
    </w:p>
    <w:p>
      <w:r>
        <w:t xml:space="preserve">业务影响：10月15日前需梳理客户电子资料、账号权限和单一窗口申报责任，防止系统切换期延误。</w:t>
      </w:r>
    </w:p>
    <w:p>
      <w:r>
        <w:t xml:space="preserve">行动建议：建立客户单一窗口资料核对清单，提前测试许可证、过境和运输工具相关申报流程。</w:t>
      </w:r>
    </w:p>
    <w:p>
      <w:r>
        <w:t xml:space="preserve">核验：已交叉验证；来源：政府文书库：Nghị định 336/2026/NĐ-CP；政府门户：National/ASEAN Single Window implementation report</w:t>
      </w:r>
    </w:p>
    <w:p>
      <w:r>
        <w:t xml:space="preserve">#2 进口C/O按风险管理检查</w:t>
      </w:r>
    </w:p>
    <w:p>
      <w:r>
        <w:t xml:space="preserve">越南语原题：Thông tư 124/2026/TT-BTC bổ sung kiểm tra chứng từ xuất xứ theo quản lý rủi ro</w:t>
      </w:r>
    </w:p>
    <w:p>
      <w:r>
        <w:t xml:space="preserve">文号/机构/状态：124/2026/TT-BTC；越南财政部；已生效</w:t>
      </w:r>
    </w:p>
    <w:p>
      <w:r>
        <w:t xml:space="preserve">发布日期/生效日期：2026年8月22日（北京时间）；2026年8月22日（北京时间）</w:t>
      </w:r>
    </w:p>
    <w:p>
      <w:r>
        <w:t xml:space="preserve">摘要：C/O检查改按风险管理原则执行，8月22日生效。</w:t>
      </w:r>
    </w:p>
    <w:p>
      <w:r>
        <w:t xml:space="preserve">业务影响：低风险客户可能减少普查，但异常供应链、异常价格和敏感品类会被重点核查C/O。</w:t>
      </w:r>
    </w:p>
    <w:p>
      <w:r>
        <w:t xml:space="preserve">行动建议：报价前标注享惠税率前提，清关前复核C/O、发票、装箱单、运输路线和生产证明一致性。</w:t>
      </w:r>
    </w:p>
    <w:p>
      <w:r>
        <w:t xml:space="preserve">核验：已交叉验证；来源：政府文书库：Thông tư 124/2026/TT-BTC；财政部系媒体：C/O按风险管理检查</w:t>
      </w:r>
    </w:p>
    <w:p>
      <w:r>
        <w:t xml:space="preserve">#3 外资投资外汇管理新规已纳入公报</w:t>
      </w:r>
    </w:p>
    <w:p>
      <w:r>
        <w:t xml:space="preserve">越南语原题：Thông tư 38/2026/TT-NHNN về quản lý ngoại hối đối với hoạt động đầu tư nước ngoài</w:t>
      </w:r>
    </w:p>
    <w:p>
      <w:r>
        <w:t xml:space="preserve">文号/机构/状态：38/2026/TT-NHNN；越南国家银行；已生效</w:t>
      </w:r>
    </w:p>
    <w:p>
      <w:r>
        <w:t xml:space="preserve">发布日期/生效日期：2026年7月31日（北京时间）；2026年8月18日（北京时间）</w:t>
      </w:r>
    </w:p>
    <w:p>
      <w:r>
        <w:t xml:space="preserve">摘要：外资账户和投资资金流规则8月18日已生效。</w:t>
      </w:r>
    </w:p>
    <w:p>
      <w:r>
        <w:t xml:space="preserve">业务影响：新设或股权变更客户可能需要重新确认资本账户、付款账户和跨境结算路径。</w:t>
      </w:r>
    </w:p>
    <w:p>
      <w:r>
        <w:t xml:space="preserve">行动建议：对FDI客户报价前增加“付款账户/投资资本账户是否合规”核对项，避免税金和货款支付延误。</w:t>
      </w:r>
    </w:p>
    <w:p>
      <w:r>
        <w:t xml:space="preserve">核验：已交叉验证；来源：政府文书库：Thông tư 38/2026/TT-NHNN；政府公报：Thông tư 38/2026/TT-NHNN</w:t>
      </w:r>
    </w:p>
    <w:p>
      <w:r>
        <w:t xml:space="preserve">#4 DNCX购买内地建材等可免海关手续</w:t>
      </w:r>
    </w:p>
    <w:p>
      <w:r>
        <w:t xml:space="preserve">越南语原题：Công văn 20985/CHQ-GSQL hướng dẫn thủ tục hải quan đối với hàng hóa mua từ nội địa để xây dựng công trình của DNCX</w:t>
      </w:r>
    </w:p>
    <w:p>
      <w:r>
        <w:t xml:space="preserve">文号/机构/状态：20985/CHQ-GSQL；越南海关总局；已签发</w:t>
      </w:r>
    </w:p>
    <w:p>
      <w:r>
        <w:t xml:space="preserve">发布日期/生效日期：2026年8月26日（北京时间）；生效日期待核验</w:t>
      </w:r>
    </w:p>
    <w:p>
      <w:r>
        <w:t xml:space="preserve">摘要：DNCX购买内地建材等场景需区分是否办海关手续。</w:t>
      </w:r>
    </w:p>
    <w:p>
      <w:r>
        <w:t xml:space="preserve">业务影响：符合35/2022/NĐ-CP第26条场景的内地采购可不按进出口货物办理海关手续；非适用场景仍需审慎判断。</w:t>
      </w:r>
    </w:p>
    <w:p>
      <w:r>
        <w:t xml:space="preserve">行动建议：接到DNCX内购业务时先问用途、货物类别和是否进入生产/加工链，再判断是否报关。</w:t>
      </w:r>
    </w:p>
    <w:p>
      <w:r>
        <w:t xml:space="preserve">核验：未交叉验证-待核实；来源：Thư viện Pháp luật：Công văn 20985/CHQ-GSQL</w:t>
      </w:r>
    </w:p>
    <w:p>
      <w:r>
        <w:t xml:space="preserve">#5 FDI企业A41进口申报地点需按授权海关确认</w:t>
      </w:r>
    </w:p>
    <w:p>
      <w:r>
        <w:t xml:space="preserve">越南语原题：Công văn 20857/CHQ-GSQL hướng dẫn thủ tục hải quan nhập khẩu loại hình A41</w:t>
      </w:r>
    </w:p>
    <w:p>
      <w:r>
        <w:t xml:space="preserve">文号/机构/状态：20857/CHQ-GSQL；越南海关总局；已生效</w:t>
      </w:r>
    </w:p>
    <w:p>
      <w:r>
        <w:t xml:space="preserve">发布日期/生效日期：2026年8月24日（北京时间）；2026年8月24日（北京时间）</w:t>
      </w:r>
    </w:p>
    <w:p>
      <w:r>
        <w:t xml:space="preserve">摘要：A41进口地点按38/39/121号通知规则执行。</w:t>
      </w:r>
    </w:p>
    <w:p>
      <w:r>
        <w:t xml:space="preserve">业务影响：错误选择报关地点可能导致退单、补资料或口岸协调成本。</w:t>
      </w:r>
    </w:p>
    <w:p>
      <w:r>
        <w:t xml:space="preserve">行动建议：A41询价模板增加“注册地、进口口岸、经营范围、主管海关”四项，先向办理地海关确认。</w:t>
      </w:r>
    </w:p>
    <w:p>
      <w:r>
        <w:t xml:space="preserve">核验：已交叉验证；来源：Thư viện Pháp luật：Công văn 20857/CHQ-GSQL；Dữ liệu pháp luật：20857/CHQ-GSQL</w:t>
      </w:r>
    </w:p>
    <w:p>
      <w:r>
        <w:t xml:space="preserve">#6 DNCX报关单9月9日起自动确认</w:t>
      </w:r>
    </w:p>
    <w:p>
      <w:r>
        <w:t xml:space="preserve">越南语原题：Công văn 20991/CHQ-GSQL hướng dẫn xác nhận qua khu vực giám sát đối với tờ khai phi thuế quan</w:t>
      </w:r>
    </w:p>
    <w:p>
      <w:r>
        <w:t xml:space="preserve">文号/机构/状态：20991/CHQ-GSQL；越南海关总局；已签发</w:t>
      </w:r>
    </w:p>
    <w:p>
      <w:r>
        <w:t xml:space="preserve">发布日期/生效日期：2026年8月26日（北京时间）；2026年9月9日（北京时间）</w:t>
      </w:r>
    </w:p>
    <w:p>
      <w:r>
        <w:t xml:space="preserve">摘要：DNCX相关报关单9月9日起启用自动确认。</w:t>
      </w:r>
    </w:p>
    <w:p>
      <w:r>
        <w:t xml:space="preserve">业务影响：出口报关需填#&amp;XKPTQ或#&amp;XKTC，进口端需填#&amp;NKPTQ#&amp;对应出口报关单前11位等字段。</w:t>
      </w:r>
    </w:p>
    <w:p>
      <w:r>
        <w:t xml:space="preserve">行动建议：9月9日前更新DNCX客户SOP和报关模板，逐票校验内部管理号与对应出口报关单。</w:t>
      </w:r>
    </w:p>
    <w:p>
      <w:r>
        <w:t xml:space="preserve">核验：已交叉验证；来源：财政部系媒体：20991/CHQ-GSQL DNCX自动确认；地方党政门户转述：DNCX报关单自动确认</w:t>
      </w:r>
    </w:p>
    <w:p>
      <w:r>
        <w:t xml:space="preserve">#7 电商与C/O进入海关风险画像</w:t>
      </w:r>
    </w:p>
    <w:p>
      <w:r>
        <w:t xml:space="preserve">越南语原题：Kiểm tra chứng từ xuất xứ và hàng TMĐT theo quản lý rủi ro hải quan</w:t>
      </w:r>
    </w:p>
    <w:p>
      <w:r>
        <w:t xml:space="preserve">文号/机构/状态：124/2026/TT-BTC；Luật Hải quan sửa đổi；财政部/国会；已生效</w:t>
      </w:r>
    </w:p>
    <w:p>
      <w:r>
        <w:t xml:space="preserve">发布日期/生效日期：2026年8月25日（北京时间）；2026年8月22日（北京时间）；海关法细则待定</w:t>
      </w:r>
    </w:p>
    <w:p>
      <w:r>
        <w:t xml:space="preserve">摘要：电商货和C/O检查都转向数据化风险筛选。</w:t>
      </w:r>
    </w:p>
    <w:p>
      <w:r>
        <w:t xml:space="preserve">业务影响：未来清关从单票资料审核转向订单、支付、物流、平台数据和C/O一致性审核。</w:t>
      </w:r>
    </w:p>
    <w:p>
      <w:r>
        <w:t xml:space="preserve">行动建议：为电商客户增加SKU-HS-价格-平台订单-支付记录-C/O一致性抽查，不接受只按低申报值报价。</w:t>
      </w:r>
    </w:p>
    <w:p>
      <w:r>
        <w:t xml:space="preserve">核验：已交叉验证；来源：政府文书库：Thông tư 124/2026/TT-BTC；财政部系媒体：C/O按风险管理检查</w:t>
      </w:r>
    </w:p>
    <w:p>
      <w:r>
        <w:t xml:space="preserve">#8 截至8月15日越南进出口达7127.2亿美元</w:t>
      </w:r>
    </w:p>
    <w:p>
      <w:r>
        <w:t xml:space="preserve">越南语原题：Tổng kim ngạch xuất nhập khẩu đến 15/8 đạt 712,72 tỷ USD</w:t>
      </w:r>
    </w:p>
    <w:p>
      <w:r>
        <w:t xml:space="preserve">文号/机构/状态：海关统计快报（来源页未披露编号）；越南海关总局；媒体报道</w:t>
      </w:r>
    </w:p>
    <w:p>
      <w:r>
        <w:t xml:space="preserve">发布日期/生效日期：2026年8月21日（北京时间）；统计数据，不适用</w:t>
      </w:r>
    </w:p>
    <w:p>
      <w:r>
        <w:t xml:space="preserve">摘要：前8个半月进出口7127.2亿美元，逆差218.8亿美元。</w:t>
      </w:r>
    </w:p>
    <w:p>
      <w:r>
        <w:t xml:space="preserve">业务影响：电子、设备和原材料进口持续高位，客户更关注通关时效、税金垫付和汇率锁定。</w:t>
      </w:r>
    </w:p>
    <w:p>
      <w:r>
        <w:t xml:space="preserve">行动建议：大票进口报价中单列关税/VAT垫付、汇兑和仓储滞期敏感项，重点跟踪电子设备客户。</w:t>
      </w:r>
    </w:p>
    <w:p>
      <w:r>
        <w:t xml:space="preserve">核验：已交叉验证；来源：财政部系媒体：15/8进出口统计；VnEconomy：8月上半月进出口统计</w:t>
      </w:r>
    </w:p>
    <w:p>
      <w:r>
        <w:t xml:space="preserve">#9 FDI进口增速高于出口，制造补库延续</w:t>
      </w:r>
    </w:p>
    <w:p>
      <w:r>
        <w:t xml:space="preserve">越南语原题：Nhận định về tình hình xuất nhập khẩu và mối liên hệ với khu vực FDI</w:t>
      </w:r>
    </w:p>
    <w:p>
      <w:r>
        <w:t xml:space="preserve">文号/机构/状态：分析文章（无文号）；财政部外资局；媒体报道</w:t>
      </w:r>
    </w:p>
    <w:p>
      <w:r>
        <w:t xml:space="preserve">发布日期/生效日期：2026年8月26日（北京时间）；研究分析，不适用</w:t>
      </w:r>
    </w:p>
    <w:p>
      <w:r>
        <w:t xml:space="preserve">摘要：FDI进口快于出口，制造业补库和合规需求上升。</w:t>
      </w:r>
    </w:p>
    <w:p>
      <w:r>
        <w:t xml:space="preserve">业务影响：进口生产资料密集进入时，单证错误会更快积累为批量补税、延迟交货和客户投诉。</w:t>
      </w:r>
    </w:p>
    <w:p>
      <w:r>
        <w:t xml:space="preserve">行动建议：对FDI客户按BOM和采购合同建立HS复核表，旺季前完成设备、电子件和原料品类抽检。</w:t>
      </w:r>
    </w:p>
    <w:p>
      <w:r>
        <w:t xml:space="preserve">核验：已交叉验证；来源：财政部外资局：FDI与进出口分析；政府政策门户：7月和7个月社会经济报告</w:t>
      </w:r>
    </w:p>
    <w:p>
      <w:r>
        <w:t xml:space="preserve">今日行动建议：更新DNCX、C/O、A41三项SOP和报价前置核查。</w:t>
      </w:r>
    </w:p>
    <w:p>
      <w:r>
        <w:t xml:space="preserve">未来7天观察事项：跟进海关公文原文、单一窗口配套细则和进出口处罚案例。</w:t>
      </w:r>
    </w:p>
    <w:sectPr>
      <w:pgSz w:w="12240" w:h="15840"/>
      <w:pgMar w:top="1440" w:right="1440" w:bottom="1440" w:left="1440"/>
    </w:sectPr>
  </w:body>
</w:document>
</file>