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- 2026-08-27</w:t>
      </w:r>
    </w:p>
    <w:p>
      <w:r>
        <w:t>生成时间：2026年8月27日 10:16（北京时间）；本期9条；覆盖窗口：2026年8月21日至2026年8月27日</w:t>
      </w:r>
    </w:p>
    <w:p>
      <w:r>
        <w:t>核心结论：336/2026/NĐ-CP和124/2026/TT-BTC把单一窗口、原产地证明和风险管理推到执行层。；海关20991和20893线索显示DNCX、HS、估价和后续稽查将成为9月前后操作重点。；进出口处罚案例显示边境口岸对假冒品牌、夹带、未申报、错报和税收流失继续保持高压。</w:t>
      </w:r>
    </w:p>
    <w:p>
      <w:r>
        <w:t>#1 国家/东盟单一窗口新规10月15日生效</w:t>
      </w:r>
    </w:p>
    <w:p>
      <w:r>
        <w:t>单一窗口新规覆盖进出口、过境和运输工具手续。</w:t>
      </w:r>
    </w:p>
    <w:p>
      <w:r>
        <w:t>影响：10月15日前需梳理客户电子资料、账号权限和单一窗口申报责任，防止系统切换期延误。</w:t>
      </w:r>
    </w:p>
    <w:p>
      <w:r>
        <w:t>建议：建立客户单一窗口资料核对清单，提前测试许可证、过境和运输工具相关申报流程。</w:t>
      </w:r>
    </w:p>
    <w:p>
      <w:r>
        <w:t>#2 进口货物原产地证明改为风险管理检查</w:t>
      </w:r>
    </w:p>
    <w:p>
      <w:r>
        <w:t>C/O检查改按风险管理原则执行，8月22日生效。</w:t>
      </w:r>
    </w:p>
    <w:p>
      <w:r>
        <w:t>影响：低风险客户可能减少普查，但异常供应链、异常价格和敏感品类会被重点核查C/O。</w:t>
      </w:r>
    </w:p>
    <w:p>
      <w:r>
        <w:t>建议：报价前标注享惠税率前提，清关前复核C/O、发票、装箱单、运输路线和生产证明一致性。</w:t>
      </w:r>
    </w:p>
    <w:p>
      <w:r>
        <w:t>#3 中国H型钢反倾销第三次复审结果公布</w:t>
      </w:r>
    </w:p>
    <w:p>
      <w:r>
        <w:t>H型钢反倾销复审影响中国钢材进口税费测算。</w:t>
      </w:r>
    </w:p>
    <w:p>
      <w:r>
        <w:t>影响：若客户进口涉案H型钢，税费估算不能只按普通进口税/VAT报价，需要单列反倾销税风险。</w:t>
      </w:r>
    </w:p>
    <w:p>
      <w:r>
        <w:t>建议：对中国H型钢询价要求客户提供厂家、出口商、HS、规格和原产地证，先按最严税费口径报价。</w:t>
      </w:r>
    </w:p>
    <w:p>
      <w:r>
        <w:t>#4 DNCX非税区报关9月9日起自动确认过监管区</w:t>
      </w:r>
    </w:p>
    <w:p>
      <w:r>
        <w:t>DNCX相关报关单9月9日起启用自动确认。</w:t>
      </w:r>
    </w:p>
    <w:p>
      <w:r>
        <w:t>影响：出口报关需填#&amp;XKPTQ或#&amp;XKTC，进口端需填#&amp;NKPTQ#&amp;对应出口报关单前11位或#&amp;NKTC#&amp;对应号码。</w:t>
      </w:r>
    </w:p>
    <w:p>
      <w:r>
        <w:t>建议：在9月9日前更新DNCX客户SOP和报关模板，逐票校验内部管理号与对应出口报关单。</w:t>
      </w:r>
    </w:p>
    <w:p>
      <w:r>
        <w:t>#5 海关将统一HS归类、估价和后续稽查尺度</w:t>
      </w:r>
    </w:p>
    <w:p>
      <w:r>
        <w:t>海关承认地方执行差异，将统一HS和估价口径。</w:t>
      </w:r>
    </w:p>
    <w:p>
      <w:r>
        <w:t>影响：地方口径差异仍可能导致补税、通关延误和后续稽查；技术资料完整度会成为风险分水岭。</w:t>
      </w:r>
    </w:p>
    <w:p>
      <w:r>
        <w:t>建议：对电子、机械、化工、成套设备客户建立HS/估价证据包，保留技术说明、成交凭证和过往裁定。</w:t>
      </w:r>
    </w:p>
    <w:p>
      <w:r>
        <w:t>#6 第XVII区海关征求50余家企业意见</w:t>
      </w:r>
    </w:p>
    <w:p>
      <w:r>
        <w:t>西宁50余家企业反馈海关草案和税务风险。</w:t>
      </w:r>
    </w:p>
    <w:p>
      <w:r>
        <w:t>影响：草案若落地，免减退税、税种自核、电子资料转换和事前确认都将提高内控要求。</w:t>
      </w:r>
    </w:p>
    <w:p>
      <w:r>
        <w:t>建议：收集客户对系统故障、样品补交、数字签名和代理责任边界的实际案例，形成反馈模板。</w:t>
      </w:r>
    </w:p>
    <w:p>
      <w:r>
        <w:t>#7 电商和进口C/O将被纳入风险画像</w:t>
      </w:r>
    </w:p>
    <w:p>
      <w:r>
        <w:t>电商货和C/O检查都转向数据化风险筛选。</w:t>
      </w:r>
    </w:p>
    <w:p>
      <w:r>
        <w:t>影响：未来清关从单票资料审核转向订单、支付、物流、平台数据和C/O一致性审核。</w:t>
      </w:r>
    </w:p>
    <w:p>
      <w:r>
        <w:t>建议：为电商客户增加SKU-HS-价格-平台订单-支付记录-C/O的一致性抽查，不接受只按低申报值报价。</w:t>
      </w:r>
    </w:p>
    <w:p>
      <w:r>
        <w:t>#8 截至8月15日越南进出口达7127.2亿美元</w:t>
      </w:r>
    </w:p>
    <w:p>
      <w:r>
        <w:t>前8个半月进出口7127.2亿美元，逆差218.8亿美元。</w:t>
      </w:r>
    </w:p>
    <w:p>
      <w:r>
        <w:t>影响：电子、设备和原材料进口持续高位，客户可能更关注通关时效、税金垫付和汇率锁定。</w:t>
      </w:r>
    </w:p>
    <w:p>
      <w:r>
        <w:t>建议：大票进口报价中单列关税/VAT垫付、汇兑和仓储滞期敏感项，重点跟踪电子设备客户。</w:t>
      </w:r>
    </w:p>
    <w:p>
      <w:r>
        <w:t>#9 FDI进口增速高于出口，制造补库压力延续</w:t>
      </w:r>
    </w:p>
    <w:p>
      <w:r>
        <w:t>FDI进口快于出口，制造业补库和合规需求上升。</w:t>
      </w:r>
    </w:p>
    <w:p>
      <w:r>
        <w:t>影响：进口生产资料密集进入时，单证错误会更快积累为批量补税、延迟交货和客户投诉。</w:t>
      </w:r>
    </w:p>
    <w:p>
      <w:r>
        <w:t>建议：对FDI客户按BOM和采购合同建立HS复核表，旺季前完成设备、电子件和原料品类抽检。</w:t>
      </w:r>
    </w:p>
    <w:p>
      <w:r>
        <w:t>今日行动建议：将DNCX报关模板增加内部管理号字段，9月9日前完成#&amp;XKPTQ/#&amp;NKPTQ等编码培训。；对享惠税率客户重新核C/O、运输路径、供应商和发票一致性，并在报价中写明原产地风险前提。；对边境口岸客户增加品牌授权、成分/用途、估价和实际货物抽检，避免低报和夹藏风险。</w:t>
      </w:r>
    </w:p>
    <w:p>
      <w:r>
        <w:t>Skygroup Logistics Viet Nam Company Limited | vietnam@goskygroup.vn | +84-0832756118</w:t>
      </w:r>
    </w:p>
    <w:sectPr/>
  </w:body>
</w:document>
</file>