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- 2026-08-25</w:t>
      </w:r>
    </w:p>
    <w:p>
      <w:r>
        <w:t xml:space="preserve">生成时间：2026年8月25日 10:15（北京时间）</w:t>
      </w:r>
    </w:p>
    <w:p>
      <w:r>
        <w:t xml:space="preserve">本期条数：9；覆盖窗口：2026年8月19日至2026年8月25日</w:t>
      </w:r>
    </w:p>
    <w:p>
      <w:r>
        <w:t xml:space="preserve">【核心结论】</w:t>
      </w:r>
    </w:p>
    <w:p>
      <w:r>
        <w:t xml:space="preserve">海关法修正案已通过，数字海关、跨境电商和数据共享将成为2027年清关制度主线。</w:t>
      </w:r>
    </w:p>
    <w:p>
      <w:r>
        <w:t xml:space="preserve">小微主体所得税减免30%已从2026年8月24日起生效，可影响本地供应商和小微客户报价谈判。</w:t>
      </w:r>
    </w:p>
    <w:p>
      <w:r>
        <w:t xml:space="preserve">C/O地方办理压力上升，出口客户要提前补齐申请表、签章、机构选择和纸质材料。</w:t>
      </w:r>
    </w:p>
    <w:p>
      <w:r>
        <w:t xml:space="preserve">1. 小微主体所得税2026-2027年减免30%</w:t>
      </w:r>
    </w:p>
    <w:p>
      <w:r>
        <w:t xml:space="preserve">越南语标题：Giảm thuế thu nhập cá nhân, thuế thu nhập doanh nghiệp</w:t>
      </w:r>
    </w:p>
    <w:p>
      <w:r>
        <w:t xml:space="preserve">来源：国会/财政部；状态：已生效；文号：Nghị quyết Quốc hội về giảm thuế TNCN, TNDN（来源页未披露编号）</w:t>
      </w:r>
    </w:p>
    <w:p>
      <w:r>
        <w:t xml:space="preserve">发布日期：2026年8月24日（北京时间）；生效日期：2026年8月24日（北京时间）</w:t>
      </w:r>
    </w:p>
    <w:p>
      <w:r>
        <w:t xml:space="preserve">摘要：小微主体2026-2027年所得税减免30%。</w:t>
      </w:r>
    </w:p>
    <w:p>
      <w:r>
        <w:t xml:space="preserve">事件概述：国会通过个人经营所得税和企业所得税减免决议，480/481名代表赞成。政府和财政部来源均说明减免比例为30%，适用于2026、2027纳税期，收入门槛为年营业收入不超过100亿越盾。</w:t>
      </w:r>
    </w:p>
    <w:p>
      <w:r>
        <w:t xml:space="preserve">业务影响：不直接降低进口环节增值税或关税，但会改变本地代理、仓配、内陆运输供应商的利润和议价空间。</w:t>
      </w:r>
    </w:p>
    <w:p>
      <w:r>
        <w:t xml:space="preserve">行动建议：筛选符合门槛的供应商和客户，要求其提供税务适用说明；新报价可把所得税减免作为谈判项，但进口税费仍按原口径测算。</w:t>
      </w:r>
    </w:p>
    <w:p>
      <w:r>
        <w:t xml:space="preserve">交叉验证：已交叉验证</w:t>
      </w:r>
    </w:p>
    <w:p>
      <w:r>
        <w:t xml:space="preserve">2. 投资法修正案削减62个有条件经营行业</w:t>
      </w:r>
    </w:p>
    <w:p>
      <w:r>
        <w:t xml:space="preserve">越南语标题：Quốc hội thông qua Luật sửa đổi, bổ sung một số điều của Luật Đầu tư</w:t>
      </w:r>
    </w:p>
    <w:p>
      <w:r>
        <w:t xml:space="preserve">来源：国会/政府门户；状态：已签发；文号：Luật sửa đổi, bổ sung một số điều của Luật Đầu tư（来源页未披露编号）</w:t>
      </w:r>
    </w:p>
    <w:p>
      <w:r>
        <w:t xml:space="preserve">发布日期：2026年8月24日（北京时间）；生效日期：2027年3月1日（北京时间）</w:t>
      </w:r>
    </w:p>
    <w:p>
      <w:r>
        <w:t xml:space="preserve">摘要：投资法修正案将有条件经营行业调至137项。</w:t>
      </w:r>
    </w:p>
    <w:p>
      <w:r>
        <w:t xml:space="preserve">事件概述：国会以474/476票通过投资法修正案，政府政策页说明有条件经营行业削减62项、调整14项，生效日期为2027年3月1日。</w:t>
      </w:r>
    </w:p>
    <w:p>
      <w:r>
        <w:t xml:space="preserve">业务影响：部分业务可能从前置许可转向后监管；新设公司、增项和客户资质审核表需要同步更新。</w:t>
      </w:r>
    </w:p>
    <w:p>
      <w:r>
        <w:t xml:space="preserve">行动建议：把公司和重点客户经营范围按新清单复核，关注数据交易、数字资产、加密资产及N2O等新增或收紧领域。</w:t>
      </w:r>
    </w:p>
    <w:p>
      <w:r>
        <w:t xml:space="preserve">交叉验证：已交叉验证</w:t>
      </w:r>
    </w:p>
    <w:p>
      <w:r>
        <w:t xml:space="preserve">3. 海关法修正案通过，电商和数据共享入法</w:t>
      </w:r>
    </w:p>
    <w:p>
      <w:r>
        <w:t xml:space="preserve">越南语标题：Quốc hội thông qua Luật Hải quan sửa đổi</w:t>
      </w:r>
    </w:p>
    <w:p>
      <w:r>
        <w:t xml:space="preserve">来源：国会/政府门户；状态：已签发；文号：Luật sửa đổi, bổ sung một số điều của Luật Hải quan（来源页未披露编号）</w:t>
      </w:r>
    </w:p>
    <w:p>
      <w:r>
        <w:t xml:space="preserve">发布日期：2026年8月23日（北京时间）；生效日期：2027年3月1日（北京时间）</w:t>
      </w:r>
    </w:p>
    <w:p>
      <w:r>
        <w:t xml:space="preserve">摘要：471/474票通过海关法修正案，2027年3月1日生效。</w:t>
      </w:r>
    </w:p>
    <w:p>
      <w:r>
        <w:t xml:space="preserve">事件概述：国会第十六届第一次非常会议通过海关法修正案，政府门户披露赞成票为471/474，占94.20%。修法方向包括数字海关、智能监管、跨境电商和数据共享。</w:t>
      </w:r>
    </w:p>
    <w:p>
      <w:r>
        <w:t xml:space="preserve">业务影响：需提前准备企业、平台、订单、支付和物流数据的结构化留存；客户资料不全将增加查验和补证风险。</w:t>
      </w:r>
    </w:p>
    <w:p>
      <w:r>
        <w:t xml:space="preserve">行动建议：建立电商/普货两套资料清单，复核客户授权、电子身份、订单和物流数据字段，提前训练业务团队使用国家单一窗口数据共享思路。</w:t>
      </w:r>
    </w:p>
    <w:p>
      <w:r>
        <w:t xml:space="preserve">交叉验证：已交叉验证</w:t>
      </w:r>
    </w:p>
    <w:p>
      <w:r>
        <w:t xml:space="preserve">4. 免税品海关手续11项修改、7项废止已生效</w:t>
      </w:r>
    </w:p>
    <w:p>
      <w:r>
        <w:t xml:space="preserve">越南语标题：Quyết định số 2017/QĐ-BTC: Sửa đổi 11 thủ tục, bãi bỏ 7 thủ tục hải quan</w:t>
      </w:r>
    </w:p>
    <w:p>
      <w:r>
        <w:t xml:space="preserve">来源：财政部/政府门户；状态：已生效；文号：2017/QĐ-BTC</w:t>
      </w:r>
    </w:p>
    <w:p>
      <w:r>
        <w:t xml:space="preserve">发布日期：2026年7月28日（北京时间）；生效日期：2026年8月21日（北京时间）</w:t>
      </w:r>
    </w:p>
    <w:p>
      <w:r>
        <w:t xml:space="preserve">摘要：免税品海关手续调整自8月21日起执行。</w:t>
      </w:r>
    </w:p>
    <w:p>
      <w:r>
        <w:t xml:space="preserve">事件概述：财政部决定2017/QĐ-BTC公布海关领域行政手续修订和废止事项，政府政策页披露11项修改补充、7项废止，主要涉及免税品监管。</w:t>
      </w:r>
    </w:p>
    <w:p>
      <w:r>
        <w:t xml:space="preserve">业务影响：客户若沿用旧材料清单可能被退单或补正，影响清关时效和仓储成本。</w:t>
      </w:r>
    </w:p>
    <w:p>
      <w:r>
        <w:t xml:space="preserve">行动建议：对涉及免税、保税和口岸监管客户更新SOP，报价中提示资料补正和时效风险。</w:t>
      </w:r>
    </w:p>
    <w:p>
      <w:r>
        <w:t xml:space="preserve">交叉验证：已交叉验证</w:t>
      </w:r>
    </w:p>
    <w:p>
      <w:r>
        <w:t xml:space="preserve">5. 木质板材增值税公文仍待官方页核验</w:t>
      </w:r>
    </w:p>
    <w:p>
      <w:r>
        <w:t xml:space="preserve">越南语标题：Công văn 2167/HQKV18-NV về thuế GTGT đối với ván gỗ công nghiệp</w:t>
      </w:r>
    </w:p>
    <w:p>
      <w:r>
        <w:t xml:space="preserve">来源：法规数据库；状态：媒体报道；文号：2167/HQKV18-NV</w:t>
      </w:r>
    </w:p>
    <w:p>
      <w:r>
        <w:t xml:space="preserve">发布日期：2026年8月20日（北京时间）；生效日期：公文指导事项，未披露独立生效日</w:t>
      </w:r>
    </w:p>
    <w:p>
      <w:r>
        <w:t xml:space="preserve">摘要：2167/HQKV18-NV涉及工业木板VAT口径，待官方复核。</w:t>
      </w:r>
    </w:p>
    <w:p>
      <w:r>
        <w:t xml:space="preserve">事件概述：第三方法规库收录2167/HQKV18-NV，主题为工业木质板材增值税政策。当天及近7天未在customs.gov.vn或mof.gov.vn检索到可直接打开的同号官方页。</w:t>
      </w:r>
    </w:p>
    <w:p>
      <w:r>
        <w:t xml:space="preserve">业务影响：在官方页未核验前，不能把该公文作为唯一计税依据；报价需列出VAT待核验风险。</w:t>
      </w:r>
    </w:p>
    <w:p>
      <w:r>
        <w:t xml:space="preserve">行动建议：对工业木板HS和VAT税率先按现行法规复核，同时要求客户提供海关答复原件或向主管海关确认。</w:t>
      </w:r>
    </w:p>
    <w:p>
      <w:r>
        <w:t xml:space="preserve">交叉验证：未交叉验证-待核实</w:t>
      </w:r>
    </w:p>
    <w:p>
      <w:r>
        <w:t xml:space="preserve">6. 电子发票和电子凭证细则继续约束交易数据</w:t>
      </w:r>
    </w:p>
    <w:p>
      <w:r>
        <w:t xml:space="preserve">越南语标题：Nghị định số 254/2026/NĐ-CP về hóa đơn điện tử, chứng từ điện tử</w:t>
      </w:r>
    </w:p>
    <w:p>
      <w:r>
        <w:t xml:space="preserve">来源：政府公报/税务；状态：已生效；文号：254/2026/NĐ-CP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摘要：254号令要求电子发票反映完整真实交易。</w:t>
      </w:r>
    </w:p>
    <w:p>
      <w:r>
        <w:t xml:space="preserve">事件概述：政府第254/2026/NĐ-CP号令细化税收管理法下的电子发票、电子凭证规则，政府公报列明6月30日签发、7月1日生效。</w:t>
      </w:r>
    </w:p>
    <w:p>
      <w:r>
        <w:t xml:space="preserve">业务影响：发票字段、买卖双方税号/地址、货名数量和金额若与报关单不一致，后续税务稽核风险上升。</w:t>
      </w:r>
    </w:p>
    <w:p>
      <w:r>
        <w:t xml:space="preserve">行动建议：把发票、合同、装箱单、订单、支付和物流轨迹做字段一致性检查，报价前要求客户确认开票主体。</w:t>
      </w:r>
    </w:p>
    <w:p>
      <w:r>
        <w:t xml:space="preserve">交叉验证：已交叉验证</w:t>
      </w:r>
    </w:p>
    <w:p>
      <w:r>
        <w:t xml:space="preserve">7. C/O分级办理后地方窗口压力上升</w:t>
      </w:r>
    </w:p>
    <w:p>
      <w:r>
        <w:t xml:space="preserve">越南语标题：Bộ Công Thương tháo gỡ khó khăn cho địa phương, doanh nghiệp về cấp C/O</w:t>
      </w:r>
    </w:p>
    <w:p>
      <w:r>
        <w:t xml:space="preserve">来源：工贸部；状态：媒体报道；文号：Nghị định 146/2025/NĐ-CP、Thông tư 26/2026/TT-BCT相关执行</w:t>
      </w:r>
    </w:p>
    <w:p>
      <w:r>
        <w:t xml:space="preserve">发布日期：2026年8月17日（北京时间）；生效日期：2026年8月1日（北京时间）</w:t>
      </w:r>
    </w:p>
    <w:p>
      <w:r>
        <w:t xml:space="preserve">摘要：8月上半月地方C/O办理量显著增加。</w:t>
      </w:r>
    </w:p>
    <w:p>
      <w:r>
        <w:t xml:space="preserve">事件概述：工贸部进出口局会议披露，2025年7月1日至2026年8月1日期间约80%C/O仍由工贸部系统办理，8月前15天地方签发比例较前7个月约增加2倍；胡志明市已接收9056份材料。</w:t>
      </w:r>
    </w:p>
    <w:p>
      <w:r>
        <w:t xml:space="preserve">业务影响：客户可能因选错签发机构、缺申请表、签章或纸质材料导致退件，影响优惠税率。</w:t>
      </w:r>
    </w:p>
    <w:p>
      <w:r>
        <w:t xml:space="preserve">行动建议：出货前建立C/O预审清单，重点核对申请机构、表格、签章、B/E表适用和地方窗口办理时限。</w:t>
      </w:r>
    </w:p>
    <w:p>
      <w:r>
        <w:t xml:space="preserve">交叉验证：未交叉验证-待核实</w:t>
      </w:r>
    </w:p>
    <w:p>
      <w:r>
        <w:t xml:space="preserve">8. 两用物项详细清单9月12日起实施</w:t>
      </w:r>
    </w:p>
    <w:p>
      <w:r>
        <w:t xml:space="preserve">越南语标题：Thông tư số 42/2026/TT-BCT quy định Danh mục chi tiết hàng hóa lưỡng dụng</w:t>
      </w:r>
    </w:p>
    <w:p>
      <w:r>
        <w:t xml:space="preserve">来源：工贸部/文书库；状态：已签发；文号：42/2026/TT-BCT</w:t>
      </w:r>
    </w:p>
    <w:p>
      <w:r>
        <w:t xml:space="preserve">发布日期：2026年7月29日（北京时间）；生效日期：2026年9月12日（北京时间）</w:t>
      </w:r>
    </w:p>
    <w:p>
      <w:r>
        <w:t xml:space="preserve">摘要：42/2026/TT-BCT两用物项清单9月12日生效。</w:t>
      </w:r>
    </w:p>
    <w:p>
      <w:r>
        <w:t xml:space="preserve">事件概述：政府文书库列明工贸部42/2026/TT-BCT号通知，规定工贸部管理权限下的两用物项详细清单，7月29日签发、9月12日生效。</w:t>
      </w:r>
    </w:p>
    <w:p>
      <w:r>
        <w:t xml:space="preserve">业务影响：未提前识别两用属性可能导致通关延误、补证、退运或行政处罚。</w:t>
      </w:r>
    </w:p>
    <w:p>
      <w:r>
        <w:t xml:space="preserve">行动建议：对机械设备、传感器、化工品和电子元件做HS+用途双重筛查，报价时增加许可证和技术资料要求。</w:t>
      </w:r>
    </w:p>
    <w:p>
      <w:r>
        <w:t xml:space="preserve">交叉验证：已交叉验证</w:t>
      </w:r>
    </w:p>
    <w:p>
      <w:r>
        <w:t xml:space="preserve">9. 银行、反洗钱和信贷机构三法修正通过</w:t>
      </w:r>
    </w:p>
    <w:p>
      <w:r>
        <w:t xml:space="preserve">越南语标题：Quốc hội thông Luật sửa đổi, bổ sung một số điều của 3 luật về ngân hàng</w:t>
      </w:r>
    </w:p>
    <w:p>
      <w:r>
        <w:t xml:space="preserve">来源：国会/政府门户；状态：已签发；文号：Luật sửa đổi 3 luật về ngân hàng, phòng chống rửa tiền và tổ chức tín dụng（来源页未披露编号）</w:t>
      </w:r>
    </w:p>
    <w:p>
      <w:r>
        <w:t xml:space="preserve">发布日期：2026年8月24日（北京时间）；生效日期：来源页未披露，待正式文本确认</w:t>
      </w:r>
    </w:p>
    <w:p>
      <w:r>
        <w:t xml:space="preserve">摘要：三项金融法律修正获473/476票通过。</w:t>
      </w:r>
    </w:p>
    <w:p>
      <w:r>
        <w:t xml:space="preserve">事件概述：国会通过修改国家银行法、反洗钱法和信贷机构法的法律，政府门户披露473/476名出席代表赞成。</w:t>
      </w:r>
    </w:p>
    <w:p>
      <w:r>
        <w:t xml:space="preserve">业务影响：银行可能提高贸易背景、受益所有人、付款用途和单证一致性要求，影响放款和付款速度。</w:t>
      </w:r>
    </w:p>
    <w:p>
      <w:r>
        <w:t xml:space="preserve">行动建议：提醒客户提前准备合同、发票、提单、报关单、付款用途说明和受益所有人资料；异常付款路径需单独评估。</w:t>
      </w:r>
    </w:p>
    <w:p>
      <w:r>
        <w:t xml:space="preserve">交叉验证：已交叉验证</w:t>
      </w:r>
    </w:p>
    <w:p>
      <w:r>
        <w:t xml:space="preserve">【今日行动建议】</w:t>
      </w:r>
    </w:p>
    <w:p>
      <w:r>
        <w:t xml:space="preserve">把海关法修正案加入9月客户合规培训，先做电商订单、支付、物流和主体资料字段清单。</w:t>
      </w:r>
    </w:p>
    <w:p>
      <w:r>
        <w:t xml:space="preserve">本周复核木板、家具、机械、电子、化工客户的HS、VAT和两用物项风险。</w:t>
      </w:r>
    </w:p>
    <w:p>
      <w:r>
        <w:t xml:space="preserve">报价模板新增C/O窗口延迟、电子发票字段不一致和银行KYC补件三类风险提示。</w:t>
      </w:r>
    </w:p>
    <w:p>
      <w:r>
        <w:t xml:space="preserve">【未来7天观察事项】</w:t>
      </w:r>
    </w:p>
    <w:p>
      <w:r>
        <w:t xml:space="preserve">等待海关法、投资法和金融三法正式文本公布，确认文号、条款和细则授权。</w:t>
      </w:r>
    </w:p>
    <w:p>
      <w:r>
        <w:t xml:space="preserve">持续检索“Cục Hải quan vừa ban hành Công văn số”及GSQL相关公文，重点看木制品、VAT、C/O和电商监管。</w:t>
      </w:r>
    </w:p>
    <w:p>
      <w:r>
        <w:t xml:space="preserve">跟踪财政部、税务机关对30%所得税减免的申报表和适用口径说明。</w:t>
      </w:r>
    </w:p>
    <w:p>
      <w:r>
        <w:t xml:space="preserve">【今日关联提醒】</w:t>
      </w:r>
    </w:p>
    <w:p>
      <w:r>
        <w:t xml:space="preserve">《越南关务法规预警》若已覆盖2017/QĐ-BTC和252/2026/NĐ-CP，本简报只保留执行动作，不重复展开法规全文。</w:t>
      </w:r>
    </w:p>
    <w:p>
      <w:r>
        <w:t xml:space="preserve">Skygroup Logistics Viet Nam Company Limited | 3rd Floor, 8-10-12 Ba Trieu Street, Cho Lon Ward, Ho Chi Minh City | vietnam@goskygroup.vn | +84-0832756118</w:t>
      </w:r>
    </w:p>
    <w:sectPr>
      <w:pgSz w:w="11906" w:h="16838"/>
      <w:pgMar w:top="1440" w:right="1440" w:bottom="1440" w:left="1440"/>
    </w:sectPr>
  </w:body>
</w:document>
</file>