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docProps\app.xml><?xml version="1.0" encoding="utf-8"?>
<Properties xmlns="http://schemas.openxmlformats.org/officeDocument/2006/extended-properties">
  <Application>Codex</Applicat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越南商业政策每日简报-2026-08-23</dc:title>
  <dc:creator>Skygroup Logistics Viet Nam</dc:creator>
  <dcterms:created xsi:type="dcterms:W3CDTF">2026-08-23T09:38:36Z</dcterms:created>
</cp:coreProperties>
</file>

<file path=word\_rels\document.xml.rels><?xml version="1.0" encoding="UTF-8"?><Relationships xmlns="http://schemas.openxmlformats.org/package/2006/relationships"/>
</file>

<file path=word\document.xml><?xml version="1.0" encoding="utf-8"?>
<w:document xmlns:w="http://schemas.openxmlformats.org/wordprocessingml/2006/main">
  <w:body>
    <w:p>
      <w:r>
        <w:t>越南商业政策每日简报 - 2026-08-23</w:t>
      </w:r>
    </w:p>
    <w:p>
      <w:r>
        <w:t>生成时间：2026年8月23日 16:38（北京时间）</w:t>
      </w:r>
    </w:p>
    <w:p>
      <w:r>
        <w:t>核心结论：本周最高优先级是2017/QĐ-BTC和273/2026/NĐ-CP已于8月21日生效，免税品经营相关海关手续需要立即更新。</w:t>
      </w:r>
    </w:p>
    <w:p>
      <w:r>
        <w:t>核心结论：近7天出现20518、20519、20731等DNCX/加工Công văn线索，但尚未找到可直接打开的海关官方原文，执行前必须向主管海关或客户索取原文。</w:t>
      </w:r>
    </w:p>
    <w:p>
      <w:r>
        <w:t>核心结论：9月12日前需同步准备110/2026/TT-BTC税务文件清理和42/2026/TT-BCT双用途货物清单筛查。</w:t>
      </w:r>
    </w:p>
    <w:p>
      <w:r>
        <w:t>1. 免税品经营海关手续8月21日同步更新｜2017/QĐ-BTC｜已生效｜2017号决定修订11项、废止7项免税品海关手续。｜建议：对免税品和口岸零售客户建立2017/QĐ-BTC清单：确认11项修订、7项废止是否影响申报路径、系统字段和随附文件。</w:t>
      </w:r>
    </w:p>
    <w:p>
      <w:r>
        <w:t>2. 免税品经营273号法令正式生效｜273/2026/NĐ-CP｜已生效｜273号法令8月21日生效，免税品监管框架落地。｜建议：接单前询问是否涉及免税品监管；若涉及，要求客户提供经营许可、库存台账、销售/再出口计划和海关监管资料。</w:t>
      </w:r>
    </w:p>
    <w:p>
      <w:r>
        <w:t>3. 加工贸易海关手续20518号公文出现｜20518/CHQ-GSQL｜媒体报道｜20518号公文涉加工活动海关手续，官方原文待核。｜建议：对加工订单新增四项核查：合同性质、料件所有权、加工地点、成品去向；取得官方原文前不作为最终口径。</w:t>
      </w:r>
    </w:p>
    <w:p>
      <w:r>
        <w:t>4. DNCX购货包装出口20519号公文需关注｜20519/CHQ-GSQL｜媒体报道｜20519号公文涉DNCX购货包装出口，需查官方原文。｜建议：DNCX包装出口客户需先画出货物流、发票流、合同流；对照1357/QĐ-TCHQ申报代码并向主管海关确认。</w:t>
      </w:r>
    </w:p>
    <w:p>
      <w:r>
        <w:t>5. 海关法草案提出低值电商简化通关机制｜海关法修订草案（第2稿）｜征求意见稿｜海关法草案关注低值电商货物简化通关。｜建议：提前整理电商客户SKU、单票价值、收件人/进口商角色、平台订单和支付资料，建立低值电商申报数据模板。</w:t>
      </w:r>
    </w:p>
    <w:p>
      <w:r>
        <w:t>6. 工贸部双用途货物清单9月12日生效｜42/2026/TT-BCT｜已签发｜42号通知列明双用途货物清单，9月12日生效。｜建议：对高技术、电子、化工、精密设备订单新增双用途筛查：HS、技术参数、最终用户、最终用途和制裁名单核查。</w:t>
      </w:r>
    </w:p>
    <w:p>
      <w:r>
        <w:t>7. 财政部110号通知将废止25项税务旧文件｜110/2026/TT-BTC｜已签发｜110号通知9月12日起废止22项通知和3项决定。｜建议：更新客户合规问卷和内部税务资料库；9月12日后删除或标注废止的旧税务依据，避免用于报价说明。</w:t>
      </w:r>
    </w:p>
    <w:p>
      <w:r>
        <w:t>8. 海关研究调整DNCX手续以贴近实务｜20731/CHQ-GSQL｜媒体报道｜20731号公文回应DNCX手续选择，原文待核实。｜建议：对DNCX客户建立场景矩阵：境内买卖、内部调拨、R&amp;D、检测、包装出口；取得20731官方原文前仅作预警。</w:t>
      </w:r>
    </w:p>
    <w:p>
      <w:r>
        <w:t>今日行动建议：对免税品、口岸零售、保税仓和转内销客户，立即按2017/QĐ-BTC核对申报手续、库存台账和监管资料。；对DNCX/加工/包装出口客户新增三流一致检查：合同流、货物流、发票流；20518、20519、20731未取得官方原文前不作为最终口径。；将42/2026/TT-BCT纳入9月12日前高技术、电子、化工、设备类订单HS和最终用途筛查。；更新税务资料库，9月12日后避免引用110/2026/TT-BTC列明废止的旧税务文件。</w:t>
      </w:r>
    </w:p>
    <w:p>
      <w:r>
        <w:t>未来7天观察事项：跟踪Cục Hải quan是否公开20731/CHQ-GSQL、20518/CHQ-GSQL、20519/CHQ-GSQL官方原文。；关注财政部替代38/2015/TT-BTC、39/2018/TT-BTC、121/2025/TT-BTC的新通知草案或签发动态。；跟踪2017/QĐ-BTC执行后免税品经营企业是否出现系统字段、报告模板或转内销口径调整。；复核42/2026/TT-BCT附件清单与重点客户HS/技术参数匹配情况。；继续查海关总局、财政部和国会对海关法修订、低值电商通关和国家单一窗口的后续文本。</w:t>
      </w:r>
    </w:p>
    <w:sectPr/>
  </w:body>
</w:document>
</file>