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越南商业政策每日简报 - 2026年7月14日</w:t>
      </w:r>
    </w:p>
    <w:p>
      <w:pPr/>
      <w:r>
        <w:t xml:space="preserve">生成时间：2026年7月14日 12:10（北京时间）；本期共8条。</w:t>
      </w:r>
    </w:p>
    <w:p>
      <w:pPr/>
      <w:r>
        <w:t xml:space="preserve">回退说明：截至本次检索，越南政府电子报、政府文书库、工贸部、海关等官方渠道未发现2026年7月14日新的高价值商业政策页；本期按规则回退到2026年7月7日至13日可核验内容，并优先纳入7月13日官方发布。</w:t>
      </w:r>
    </w:p>
    <w:p>
      <w:pPr/>
      <w:r>
        <w:t xml:space="preserve">数据源：越南政府电子报、越南政府文书库、越南工贸部、越南政府门户征求意见栏目</w:t>
      </w:r>
    </w:p>
    <w:p>
      <w:pPr/>
      <w:r>
        <w:t xml:space="preserve"/>
      </w:r>
    </w:p>
    <w:p>
      <w:pPr>
        <w:pStyle w:val="Heading1"/>
      </w:pPr>
      <w:r>
        <w:t xml:space="preserve">政府发布/更新（2条）</w:t>
      </w:r>
    </w:p>
    <w:p>
      <w:pPr/>
      <w:r>
        <w:t xml:space="preserve">1. 政府部署第十六届国会任期立法计划</w:t>
      </w:r>
    </w:p>
    <w:p>
      <w:pPr/>
      <w:r>
        <w:t xml:space="preserve">越南语原题：Kế hoạch của Chính phủ thực hiện Định hướng lập pháp nhiệm kỳ Quốc hội khóa XVI</w:t>
      </w:r>
    </w:p>
    <w:p>
      <w:pPr/>
      <w:r>
        <w:t xml:space="preserve">文号/机构/状态：185/NQ-CP；越南政府；已签发</w:t>
      </w:r>
    </w:p>
    <w:p>
      <w:pPr/>
      <w:r>
        <w:t xml:space="preserve">发布日期/生效日期：2026年7月13日 19:29（北京时间）；发布即执行，具体以决议正文为准</w:t>
      </w:r>
    </w:p>
    <w:p>
      <w:pPr/>
      <w:r>
        <w:t xml:space="preserve">摘要：政府要求各部委梳理立法任务，2026年事项需按期反馈。</w:t>
      </w:r>
    </w:p>
    <w:p>
      <w:pPr/>
      <w:r>
        <w:t xml:space="preserve">事件概述：政府发布185/NQ-CP，要求部委明确立法任务、牵头单位、配合单位、期限、成果和报告机制。</w:t>
      </w:r>
    </w:p>
    <w:p>
      <w:pPr/>
      <w:r>
        <w:t xml:space="preserve">关注原因：法律、税务、海关、投资和电商规则可能进入集中修订窗口，影响企业合规预判。</w:t>
      </w:r>
    </w:p>
    <w:p>
      <w:pPr/>
      <w:r>
        <w:t xml:space="preserve">影响主体：进口商、制造企业、外资投资项目、物流与报关服务商</w:t>
      </w:r>
    </w:p>
    <w:p>
      <w:pPr/>
      <w:r>
        <w:t xml:space="preserve">业务影响：客户合同、报价有效期、合规审查和内部培训需要预留法规快速调整空间。</w:t>
      </w:r>
    </w:p>
    <w:p>
      <w:pPr/>
      <w:r>
        <w:t xml:space="preserve">行动建议：建立2026年待修法清单，重点跟踪海关、税务、电商、投资和外贸相关草案。</w:t>
      </w:r>
    </w:p>
    <w:p>
      <w:pPr/>
      <w:r>
        <w:t xml:space="preserve">交叉验证：未交叉验证-待核实</w:t>
      </w:r>
    </w:p>
    <w:p>
      <w:pPr/>
      <w:r>
        <w:t xml:space="preserve">核验来源：越南政府电子报 https://baochinhphu.vn/ke-hoach-cua-chinh-phu-thuc-hien-dinh-huong-lap-phap-nhiem-ky-quoc-hoi-khoa-xvi-102260713180058338.htm；附件：任务分工清单 https://baochinhphu.vn/ke-hoach-cua-chinh-phu-thuc-hien-dinh-huong-lap-phap-nhiem-ky-quoc-hoi-khoa-xvi-102260713180058338.htm</w:t>
      </w:r>
    </w:p>
    <w:p>
      <w:pPr/>
      <w:r>
        <w:t xml:space="preserve">2. 财政部拟提高工业促进经费支出标准</w:t>
      </w:r>
    </w:p>
    <w:p>
      <w:pPr/>
      <w:r>
        <w:t xml:space="preserve">越南语原题：Dự kiến mức chi hoạt động khuyến công</w:t>
      </w:r>
    </w:p>
    <w:p>
      <w:pPr/>
      <w:r>
        <w:t xml:space="preserve">文号/机构/状态：财政部通知草案；越南财政部；征求意见稿</w:t>
      </w:r>
    </w:p>
    <w:p>
      <w:pPr/>
      <w:r>
        <w:t xml:space="preserve">发布日期/生效日期：2026年7月13日 17:51（北京时间）；尚未生效，待正式通知</w:t>
      </w:r>
    </w:p>
    <w:p>
      <w:pPr/>
      <w:r>
        <w:t xml:space="preserve">摘要：工业促进经费拟平均上调58%，覆盖培训、清洁生产和市场拓展。</w:t>
      </w:r>
    </w:p>
    <w:p>
      <w:pPr/>
      <w:r>
        <w:t xml:space="preserve">事件概述：财政部起草关于工业促进经费编制、管理和使用的通知，拟继承现行规则并补充培训、数字化、清洁生产和集群投资促进等支出。</w:t>
      </w:r>
    </w:p>
    <w:p>
      <w:pPr/>
      <w:r>
        <w:t xml:space="preserve">关注原因：制造客户可能获得培训、技改、清洁生产和出口市场拓展支持，影响成本与投资节奏。</w:t>
      </w:r>
    </w:p>
    <w:p>
      <w:pPr/>
      <w:r>
        <w:t xml:space="preserve">影响主体：农村工业企业、制造客户、工业集群、地方工贸主管部门</w:t>
      </w:r>
    </w:p>
    <w:p>
      <w:pPr/>
      <w:r>
        <w:t xml:space="preserve">业务影响：部分客户可把合规改造、节能和市场拓展纳入政府支持资金测算。</w:t>
      </w:r>
    </w:p>
    <w:p>
      <w:pPr/>
      <w:r>
        <w:t xml:space="preserve">行动建议：对制造客户补充[可申请工业促进支持]提示，跟踪正式通知和地方申报窗口。</w:t>
      </w:r>
    </w:p>
    <w:p>
      <w:pPr/>
      <w:r>
        <w:t xml:space="preserve">交叉验证：未交叉验证-待核实</w:t>
      </w:r>
    </w:p>
    <w:p>
      <w:pPr/>
      <w:r>
        <w:t xml:space="preserve">核验来源：越南政府电子报 https://baochinhphu.vn/du-kien-muc-chi-hoat-dong-khuyen-cong-102260713165126621.htm；政府文书库：235/2025/NĐ-CP https://vanban.chinhphu.vn/?docid=215089&amp;pageid=27160</w:t>
      </w:r>
    </w:p>
    <w:p>
      <w:pPr/>
      <w:r>
        <w:t xml:space="preserve"/>
      </w:r>
    </w:p>
    <w:p>
      <w:pPr>
        <w:pStyle w:val="Heading1"/>
      </w:pPr>
      <w:r>
        <w:t xml:space="preserve">海关发布/更新（2条）</w:t>
      </w:r>
    </w:p>
    <w:p>
      <w:pPr/>
      <w:r>
        <w:t xml:space="preserve">3. 12类进口货物须在入境口岸清关</w:t>
      </w:r>
    </w:p>
    <w:p>
      <w:pPr/>
      <w:r>
        <w:t xml:space="preserve">越南语原题：Danh mục hàng hóa nhập khẩu phải làm thủ tục hải quan tại cửa khẩu nhập</w:t>
      </w:r>
    </w:p>
    <w:p>
      <w:pPr/>
      <w:r>
        <w:t xml:space="preserve">文号/机构/状态：31/2026/QĐ-TTg；政府总理；已签发</w:t>
      </w:r>
    </w:p>
    <w:p>
      <w:pPr/>
      <w:r>
        <w:t xml:space="preserve">发布日期/生效日期：2026年6月29日（北京时间）；2026年8月14日（北京时间）</w:t>
      </w:r>
    </w:p>
    <w:p>
      <w:pPr/>
      <w:r>
        <w:t xml:space="preserve">摘要：烟酒、16座以下汽车、汽油等12类货物须在入境口岸申报。</w:t>
      </w:r>
    </w:p>
    <w:p>
      <w:pPr/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pPr/>
      <w:r>
        <w:t xml:space="preserve">关注原因：直接影响进口口岸、运输路线、报关节点和报价成本。</w:t>
      </w:r>
    </w:p>
    <w:p>
      <w:pPr/>
      <w:r>
        <w:t xml:space="preserve">影响主体：进口商、报关行、危险品与高税货客户、口岸运输商</w:t>
      </w:r>
    </w:p>
    <w:p>
      <w:pPr/>
      <w:r>
        <w:t xml:space="preserve">业务影响：原本可转关或内陆申报的货盘需重新设计口岸方案和费用结构。</w:t>
      </w:r>
    </w:p>
    <w:p>
      <w:pPr/>
      <w:r>
        <w:t xml:space="preserve">行动建议：按HS和品名建立12类货物筛查表，8月14日前更新报价模板与客户SOP。</w:t>
      </w:r>
    </w:p>
    <w:p>
      <w:pPr/>
      <w:r>
        <w:t xml:space="preserve">交叉验证：已交叉验证</w:t>
      </w:r>
    </w:p>
    <w:p>
      <w:pPr/>
      <w:r>
        <w:t xml:space="preserve">核验来源：越南政府文书库 https://vanban.chinhphu.vn/?classid=1&amp;docid=218619&amp;orggroupid=3&amp;pageid=27160；越南政府电子报 https://baochinhphu.vn/danh-muc-hang-hoa-nhap-khau-phai-lam-thu-tuc-hai-quan-tai-cua-khau-nhap-102260630151217616.htm</w:t>
      </w:r>
    </w:p>
    <w:p>
      <w:pPr/>
      <w:r>
        <w:t xml:space="preserve">4. 免税店经营与海关监管规则重构</w:t>
      </w:r>
    </w:p>
    <w:p>
      <w:pPr/>
      <w:r>
        <w:t xml:space="preserve">越南语原题：Nghị định về kinh doanh hàng miễn thuế</w:t>
      </w:r>
    </w:p>
    <w:p>
      <w:pPr/>
      <w:r>
        <w:t xml:space="preserve">文号/机构/状态：273/2026/NĐ-CP；越南政府；已签发</w:t>
      </w:r>
    </w:p>
    <w:p>
      <w:pPr/>
      <w:r>
        <w:t xml:space="preserve">发布日期/生效日期：2026年7月7日（北京时间）；2026年8月21日（北京时间）</w:t>
      </w:r>
    </w:p>
    <w:p>
      <w:pPr/>
      <w:r>
        <w:t xml:space="preserve">摘要：免税经营、仓库、库存和旅客/船员信息监管将按新规执行。</w:t>
      </w:r>
    </w:p>
    <w:p>
      <w:pPr/>
      <w:r>
        <w:t xml:space="preserve">事件概述：273/2026/NĐ-CP重新规定免税货物经营条件、免税仓库、销售对象和海关监管数据要求。</w:t>
      </w:r>
    </w:p>
    <w:p>
      <w:pPr/>
      <w:r>
        <w:t xml:space="preserve">关注原因：涉及机场、港口、船供、免税仓和海关系统数据衔接。</w:t>
      </w:r>
    </w:p>
    <w:p>
      <w:pPr/>
      <w:r>
        <w:t xml:space="preserve">影响主体：免税经营者、机场港口、船供企业、报关服务商</w:t>
      </w:r>
    </w:p>
    <w:p>
      <w:pPr/>
      <w:r>
        <w:t xml:space="preserve">业务影响：免税货物流、仓库台账和人员数据校验流程需在生效前调整。</w:t>
      </w:r>
    </w:p>
    <w:p>
      <w:pPr/>
      <w:r>
        <w:t xml:space="preserve">行动建议：核对免税业务SOP，提前测试库存台账、旅客/船员信息和系统字段。</w:t>
      </w:r>
    </w:p>
    <w:p>
      <w:pPr/>
      <w:r>
        <w:t xml:space="preserve">交叉验证：已交叉验证</w:t>
      </w:r>
    </w:p>
    <w:p>
      <w:pPr/>
      <w:r>
        <w:t xml:space="preserve">核验来源：越南政府文书库 https://vanban.chinhphu.vn/?docid=218801&amp;pageid=27160；越南政府电子报 https://baochinhphu.vn/quy-dinh-moi-ve-kinh-doanh-hang-mien-thue-102260708143242009.htm</w:t>
      </w:r>
    </w:p>
    <w:p>
      <w:pPr/>
      <w:r>
        <w:t xml:space="preserve"/>
      </w:r>
    </w:p>
    <w:p>
      <w:pPr>
        <w:pStyle w:val="Heading1"/>
      </w:pPr>
      <w:r>
        <w:t xml:space="preserve">电商行业动态（1条）</w:t>
      </w:r>
    </w:p>
    <w:p>
      <w:pPr/>
      <w:r>
        <w:t xml:space="preserve">5. 电子商务法与248号实施细则进入执行期</w:t>
      </w:r>
    </w:p>
    <w:p>
      <w:pPr/>
      <w:r>
        <w:t xml:space="preserve">越南语原题：Luật Thương mại điện tử và Nghị định số 248/2026/NĐ-CP</w:t>
      </w:r>
    </w:p>
    <w:p>
      <w:pPr/>
      <w:r>
        <w:t xml:space="preserve">文号/机构/状态：122/2025/QH15；248/2026/NĐ-CP；越南国会 / 越南政府；已生效</w:t>
      </w:r>
    </w:p>
    <w:p>
      <w:pPr/>
      <w:r>
        <w:t xml:space="preserve">发布日期/生效日期：2025年12月10日（北京时间）；2026年7月1日（北京时间）</w:t>
      </w:r>
    </w:p>
    <w:p>
      <w:pPr/>
      <w:r>
        <w:t xml:space="preserve">摘要：平台须先核验卖家身份，跨境电商合规责任同步提高。</w:t>
      </w:r>
    </w:p>
    <w:p>
      <w:pPr/>
      <w:r>
        <w:t xml:space="preserve">事件概述：工贸部7月3日普及电子商务法和248/2026/NĐ-CP，强调平台、企业、合作社、个体户和卖家[先合规再销售]。</w:t>
      </w:r>
    </w:p>
    <w:p>
      <w:pPr/>
      <w:r>
        <w:t xml:space="preserve">关注原因：电商客户的卖家KYC、商品来源、税务、消费者保护和平台责任将更严格。</w:t>
      </w:r>
    </w:p>
    <w:p>
      <w:pPr/>
      <w:r>
        <w:t xml:space="preserve">影响主体：跨境电商平台、卖家、履约仓、FBA/电商物流客户</w:t>
      </w:r>
    </w:p>
    <w:p>
      <w:pPr/>
      <w:r>
        <w:t xml:space="preserve">业务影响：清关资料、卖家身份、商品来源和售后证据将影响平台准入与合规风险。</w:t>
      </w:r>
    </w:p>
    <w:p>
      <w:pPr/>
      <w:r>
        <w:t xml:space="preserve">行动建议：对电商客户执行KYC、原产地、发票税务、投诉处理和直播内容五项审计。</w:t>
      </w:r>
    </w:p>
    <w:p>
      <w:pPr/>
      <w:r>
        <w:t xml:space="preserve">交叉验证：已交叉验证</w:t>
      </w:r>
    </w:p>
    <w:p>
      <w:pPr/>
      <w:r>
        <w:t xml:space="preserve">核验来源：越南政府文书库：电子商务法 https://vanban.chinhphu.vn/?classid=1&amp;docid=216503&amp;pageid=27160&amp;typegroupid=3；越南工贸部 https://moit.gov.vn/tin-tuc/bo-cong-thuong-pho-bien-luat-thuong-mai-dien-tu-va-nghi-dinh-so-248-2026-nd-cp.html</w:t>
      </w:r>
    </w:p>
    <w:p>
      <w:pPr/>
      <w:r>
        <w:t xml:space="preserve"/>
      </w:r>
    </w:p>
    <w:p>
      <w:pPr>
        <w:pStyle w:val="Heading1"/>
      </w:pPr>
      <w:r>
        <w:t xml:space="preserve">外贸研究（1条）</w:t>
      </w:r>
    </w:p>
    <w:p>
      <w:pPr/>
      <w:r>
        <w:t xml:space="preserve">6. 农林水产出口向1000亿美元目标冲刺</w:t>
      </w:r>
    </w:p>
    <w:p>
      <w:pPr/>
      <w:r>
        <w:t xml:space="preserve">越南语原题：Xuất khẩu nông lâm thủy sản từ 70 đến 100 tỷ USD: Cần những bước đột phá mới</w:t>
      </w:r>
    </w:p>
    <w:p>
      <w:pPr/>
      <w:r>
        <w:t xml:space="preserve">文号/机构/状态：不适用；政府信息与传播局 / 政府电子报；媒体报道</w:t>
      </w:r>
    </w:p>
    <w:p>
      <w:pPr/>
      <w:r>
        <w:t xml:space="preserve">发布日期/生效日期：2026年7月12日 07:01（北京时间）；不适用</w:t>
      </w:r>
    </w:p>
    <w:p>
      <w:pPr/>
      <w:r>
        <w:t xml:space="preserve">摘要：农林水产出口目标从700亿迈向1000亿美元，追溯与品牌更关键。</w:t>
      </w:r>
    </w:p>
    <w:p>
      <w:pPr/>
      <w:r>
        <w:t xml:space="preserve">事件概述：政府电子报报道，2025年农林水产出口已超过700亿美元，2027年目标1000亿美元，增长路径需从单纯产量转向质量、追溯、品牌和交付稳定性。</w:t>
      </w:r>
    </w:p>
    <w:p>
      <w:pPr/>
      <w:r>
        <w:t xml:space="preserve">关注原因：农产品出口要求将进一步绑定产地编码、残留控制、追溯和绿色标准。</w:t>
      </w:r>
    </w:p>
    <w:p>
      <w:pPr/>
      <w:r>
        <w:t xml:space="preserve">影响主体：农产品出口商、冷链物流、包装厂、跨境贸易客户</w:t>
      </w:r>
    </w:p>
    <w:p>
      <w:pPr/>
      <w:r>
        <w:t xml:space="preserve">业务影响：出口客户更需要前置核验产地编码、包装合规和目的国准入文件。</w:t>
      </w:r>
    </w:p>
    <w:p>
      <w:pPr/>
      <w:r>
        <w:t xml:space="preserve">行动建议：把农产品客户分为产地码、冷链、残留/检疫三类风险，做出货前资料清单。</w:t>
      </w:r>
    </w:p>
    <w:p>
      <w:pPr/>
      <w:r>
        <w:t xml:space="preserve">交叉验证：未交叉验证-待核实</w:t>
      </w:r>
    </w:p>
    <w:p>
      <w:pPr/>
      <w:r>
        <w:t xml:space="preserve">核验来源：越南政府电子报 https://baochinhphu.vn/xuat-khau-nong-lam-thuy-san-tu-70-den-100-ty-usd-can-nhung-buoc-dot-pha-moi-102260712060147432.htm</w:t>
      </w:r>
    </w:p>
    <w:p>
      <w:pPr/>
      <w:r>
        <w:t xml:space="preserve"/>
      </w:r>
    </w:p>
    <w:p>
      <w:pPr>
        <w:pStyle w:val="Heading1"/>
      </w:pPr>
      <w:r>
        <w:t xml:space="preserve">生产制造与观点（2条）</w:t>
      </w:r>
    </w:p>
    <w:p>
      <w:pPr/>
      <w:r>
        <w:t xml:space="preserve">7. 制造企业通过错峰和节能降低电力压力</w:t>
      </w:r>
    </w:p>
    <w:p>
      <w:pPr/>
      <w:r>
        <w:t xml:space="preserve">越南语原题：Tiết kiệm năng lượng: Doanh nghiệp chung tay giảm áp lực hệ thống điện</w:t>
      </w:r>
    </w:p>
    <w:p>
      <w:pPr/>
      <w:r>
        <w:t xml:space="preserve">文号/机构/状态：不适用；越南工贸部；媒体报道</w:t>
      </w:r>
    </w:p>
    <w:p>
      <w:pPr/>
      <w:r>
        <w:t xml:space="preserve">发布日期/生效日期：2026年7月13日 11:02（北京时间）；不适用</w:t>
      </w:r>
    </w:p>
    <w:p>
      <w:pPr/>
      <w:r>
        <w:t xml:space="preserve">摘要：制造企业通过错峰生产、屋顶光伏和设备优化降低高峰电力成本。</w:t>
      </w:r>
    </w:p>
    <w:p>
      <w:pPr/>
      <w:r>
        <w:t xml:space="preserve">事件概述：工贸部报道，多家制造企业通过移峰生产、削减高峰负荷、屋顶光伏、变频器和设备优化降低用电压力。</w:t>
      </w:r>
    </w:p>
    <w:p>
      <w:pPr/>
      <w:r>
        <w:t xml:space="preserve">关注原因：电力成本和限电风险会影响工厂交期、仓储温控和报价稳定性。</w:t>
      </w:r>
    </w:p>
    <w:p>
      <w:pPr/>
      <w:r>
        <w:t xml:space="preserve">影响主体：制造客户、仓储冷链、物流园区、能源密集型工厂</w:t>
      </w:r>
    </w:p>
    <w:p>
      <w:pPr/>
      <w:r>
        <w:t xml:space="preserve">业务影响：生产排班和出货节奏可能受电力高峰管理影响，长约成本需留调整口。</w:t>
      </w:r>
    </w:p>
    <w:p>
      <w:pPr/>
      <w:r>
        <w:t xml:space="preserve">行动建议：报价时加入高峰电价与交期缓冲，向重点客户收集排产和用电风险信息。</w:t>
      </w:r>
    </w:p>
    <w:p>
      <w:pPr/>
      <w:r>
        <w:t xml:space="preserve">交叉验证：未交叉验证-待核实</w:t>
      </w:r>
    </w:p>
    <w:p>
      <w:pPr/>
      <w:r>
        <w:t xml:space="preserve">核验来源：越南工贸部 https://moit.gov.vn/tin-tuc/tiet-kiem-nang-luong-doanh-nghiep-chung-tay-giam-ap-luc-he-thong-dien.html</w:t>
      </w:r>
    </w:p>
    <w:p>
      <w:pPr/>
      <w:r>
        <w:t xml:space="preserve">8. 化学品和工业爆炸物行政处罚新规</w:t>
      </w:r>
    </w:p>
    <w:p>
      <w:pPr/>
      <w:r>
        <w:t xml:space="preserve">越南语原题：Xử phạt vi phạm hành chính trong lĩnh vực hóa chất và vật liệu nổ công nghiệp</w:t>
      </w:r>
    </w:p>
    <w:p>
      <w:pPr/>
      <w:r>
        <w:t xml:space="preserve">文号/机构/状态：275/2026/NĐ-CP；越南政府；已签发</w:t>
      </w:r>
    </w:p>
    <w:p>
      <w:pPr/>
      <w:r>
        <w:t xml:space="preserve">发布日期/生效日期：2026年7月8日（北京时间）；2026年8月25日（北京时间）</w:t>
      </w:r>
    </w:p>
    <w:p>
      <w:pPr/>
      <w:r>
        <w:t xml:space="preserve">摘要：化学品与工业爆炸物处罚提高，运输和仓储资料缺口风险上升。</w:t>
      </w:r>
    </w:p>
    <w:p>
      <w:pPr/>
      <w:r>
        <w:t xml:space="preserve">事件概述：275/2026/NĐ-CP规定化学品与工业爆炸物行政处罚，个人化学品最高罚5000万越盾、工业爆炸物最高罚1亿越盾，组织按个人两倍适用。</w:t>
      </w:r>
    </w:p>
    <w:p>
      <w:pPr/>
      <w:r>
        <w:t xml:space="preserve">关注原因：化工品进口、仓储、标签、包装、运输许可和应急资料缺失会带来更高处罚暴露。</w:t>
      </w:r>
    </w:p>
    <w:p>
      <w:pPr/>
      <w:r>
        <w:t xml:space="preserve">影响主体：化工进口商、危险品物流、仓库、生产企业</w:t>
      </w:r>
    </w:p>
    <w:p>
      <w:pPr/>
      <w:r>
        <w:t xml:space="preserve">业务影响：SDS、标签、许可证、包装和运输资质将成为接单前硬门槛。</w:t>
      </w:r>
    </w:p>
    <w:p>
      <w:pPr/>
      <w:r>
        <w:t xml:space="preserve">行动建议：8月25日前完成危险品客户档案审计，缺SDS/标签/许可的订单不放行。</w:t>
      </w:r>
    </w:p>
    <w:p>
      <w:pPr/>
      <w:r>
        <w:t xml:space="preserve">交叉验证：已交叉验证</w:t>
      </w:r>
    </w:p>
    <w:p>
      <w:pPr/>
      <w:r>
        <w:t xml:space="preserve">核验来源：越南政府文书库 https://vanban.chinhphu.vn/?docid=218835&amp;pageid=27160；越南政府电子报 https://baochinhphu.vn/ca-nhan-vi-pham-hanh-chinh-trong-linh-vuc-hoa-chat-va-vat-lieu-no-cong-nghiep-co-the-bi-phat-toi-100-trieu-dong-102260709181107005.htm</w:t>
      </w:r>
    </w:p>
    <w:p>
      <w:pPr/>
      <w:r>
        <w:t xml:space="preserve"/>
      </w:r>
    </w:p>
    <w:p>
      <w:pPr>
        <w:pStyle w:val="Heading1"/>
      </w:pPr>
      <w:r>
        <w:t xml:space="preserve">今日行动建议</w:t>
      </w:r>
    </w:p>
    <w:p>
      <w:pPr/>
      <w:r>
        <w:t xml:space="preserve">- 把31/2026/QĐ-TTg的12类进口货物加入HS复核、口岸选择和报价模板。</w:t>
      </w:r>
    </w:p>
    <w:p>
      <w:pPr/>
      <w:r>
        <w:t xml:space="preserve">- 对电商客户执行卖家KYC、商品来源、税务、消费者保护和直播内容审计。</w:t>
      </w:r>
    </w:p>
    <w:p>
      <w:pPr/>
      <w:r>
        <w:t xml:space="preserve">- 对化工/危险品客户设置SDS、标签、许可证、包装和运输资质硬门槛。</w:t>
      </w:r>
    </w:p>
    <w:p>
      <w:pPr/>
      <w:r>
        <w:t xml:space="preserve">- 为制造客户报价加入电价和错峰生产导致的交期缓冲。</w:t>
      </w:r>
    </w:p>
    <w:p>
      <w:pPr/>
      <w:r>
        <w:t xml:space="preserve">- 跟踪7月13日发布的草案和立法计划，建立法规变更提醒表。</w:t>
      </w:r>
    </w:p>
    <w:p>
      <w:pPr/>
      <w:r>
        <w:t xml:space="preserve"/>
      </w:r>
    </w:p>
    <w:p>
      <w:pPr>
        <w:pStyle w:val="Heading1"/>
      </w:pPr>
      <w:r>
        <w:t xml:space="preserve">未来7天观察事项</w:t>
      </w:r>
    </w:p>
    <w:p>
      <w:pPr/>
      <w:r>
        <w:t xml:space="preserve">- 31/2026/QĐ-TTg实施前海关总局是否发布口岸执行细则。</w:t>
      </w:r>
    </w:p>
    <w:p>
      <w:pPr/>
      <w:r>
        <w:t xml:space="preserve">- 电子商务法与248/2026/NĐ-CP是否出现首批执法案例。</w:t>
      </w:r>
    </w:p>
    <w:p>
      <w:pPr/>
      <w:r>
        <w:t xml:space="preserve">- 财政部工业促进经费草案是否开放正式征求意见附件。</w:t>
      </w:r>
    </w:p>
    <w:p>
      <w:pPr/>
      <w:r>
        <w:t xml:space="preserve">- 化学品处罚新规生效前，地方工贸/市场监管部门是否发布检查重点。</w:t>
      </w:r>
    </w:p>
    <w:p>
      <w:pPr/>
      <w:r>
        <w:t xml:space="preserve">- 农产品产地码、包装厂编码简化草案是否进入正式政府决议。</w:t>
      </w:r>
    </w:p>
    <w:p>
      <w:pPr/>
      <w:r>
        <w:t xml:space="preserve">- 电价、错峰用电和屋顶光伏政策是否影响制造客户交期与仓储成本。</w:t>
      </w:r>
    </w:p>
    <w:sectPr>
      <w:pgSz w:w="11906" w:h="16838"/>
      <w:pgMar w:top="1440" w:right="1200" w:bottom="1440" w:left="1200" w:header="720" w:footer="72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Microsoft YaHei" w:eastAsia="Microsoft YaHei"/>
      <w:sz w:val="22"/>
    </w:rPr>
  </w:style>
  <w:style w:type="paragraph" w:styleId="Title">
    <w:name w:val="Title"/>
    <w:basedOn w:val="Normal"/>
    <w:rPr>
      <w:b/>
      <w:rFonts w:ascii="Microsoft YaHei" w:eastAsia="Microsoft YaHei"/>
      <w:sz w:val="36"/>
      <w:color w:val="0B2346"/>
    </w:rPr>
  </w:style>
  <w:style w:type="paragraph" w:styleId="Heading1">
    <w:name w:val="heading 1"/>
    <w:basedOn w:val="Normal"/>
    <w:pPr>
      <w:spacing w:before="240" w:after="120"/>
    </w:pPr>
    <w:rPr>
      <w:b/>
      <w:rFonts w:ascii="Microsoft YaHei" w:eastAsia="Microsoft YaHei"/>
      <w:sz w:val="28"/>
      <w:color w:val="F47A20"/>
    </w:rPr>
  </w:style>
</w:styles>
</file>